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outlineLvl w:val="9"/>
        <w:rPr>
          <w:rFonts w:hint="eastAsia"/>
          <w:b/>
          <w:bCs/>
        </w:rPr>
      </w:pPr>
    </w:p>
    <w:p>
      <w:pPr>
        <w:pStyle w:val="10"/>
        <w:outlineLvl w:val="9"/>
        <w:rPr>
          <w:rFonts w:hint="eastAsia"/>
          <w:b/>
          <w:bCs/>
        </w:rPr>
      </w:pPr>
    </w:p>
    <w:p>
      <w:pPr>
        <w:pStyle w:val="10"/>
        <w:outlineLvl w:val="9"/>
        <w:rPr>
          <w:rFonts w:hint="eastAsia"/>
          <w:b/>
          <w:bCs/>
        </w:rPr>
      </w:pPr>
    </w:p>
    <w:p>
      <w:pPr>
        <w:pStyle w:val="10"/>
        <w:spacing w:before="240" w:after="120"/>
        <w:outlineLvl w:val="9"/>
        <w:rPr>
          <w:rFonts w:ascii="黑体" w:eastAsia="黑体"/>
          <w:b/>
          <w:bCs/>
          <w:sz w:val="36"/>
        </w:rPr>
      </w:pPr>
      <w:r>
        <w:rPr>
          <w:rFonts w:hint="eastAsia" w:ascii="黑体" w:eastAsia="黑体"/>
          <w:b/>
          <w:bCs/>
          <w:sz w:val="36"/>
        </w:rPr>
        <w:t>净值型系列封闭式第</w:t>
      </w:r>
      <w:r>
        <w:rPr>
          <w:rFonts w:ascii="黑体" w:eastAsia="黑体"/>
          <w:b/>
          <w:bCs/>
          <w:sz w:val="36"/>
        </w:rPr>
        <w:t>120期人民币理财产品（先到利B款半年分红）2023年</w:t>
      </w:r>
    </w:p>
    <w:p>
      <w:pPr>
        <w:pStyle w:val="10"/>
        <w:spacing w:before="240" w:after="120"/>
        <w:outlineLvl w:val="9"/>
        <w:rPr>
          <w:rFonts w:ascii="黑体" w:hAnsi="黑体" w:eastAsia="黑体"/>
          <w:b/>
          <w:bCs/>
          <w:sz w:val="36"/>
        </w:rPr>
      </w:pPr>
      <w:r>
        <w:rPr>
          <w:rFonts w:ascii="黑体" w:hAnsi="黑体" w:eastAsia="黑体"/>
          <w:b/>
          <w:bCs/>
          <w:sz w:val="36"/>
        </w:rPr>
        <w:t>第3季度报告</w:t>
      </w:r>
    </w:p>
    <w:p>
      <w:pPr>
        <w:pStyle w:val="10"/>
        <w:spacing w:before="240" w:after="120"/>
        <w:outlineLvl w:val="9"/>
        <w:rPr>
          <w:rFonts w:ascii="黑体" w:hAnsi="黑体" w:eastAsia="黑体"/>
          <w:b/>
          <w:bCs/>
          <w:sz w:val="36"/>
        </w:rPr>
      </w:pPr>
      <w:r>
        <w:rPr>
          <w:rFonts w:ascii="黑体" w:hAnsi="黑体" w:eastAsia="黑体"/>
          <w:b/>
          <w:bCs/>
          <w:sz w:val="36"/>
        </w:rPr>
        <w:t>2023年09月30日</w:t>
      </w: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rFonts w:ascii="黑体" w:hAnsi="黑体" w:eastAsia="黑体"/>
          <w:b/>
          <w:bCs/>
          <w:sz w:val="36"/>
        </w:rPr>
      </w:pPr>
    </w:p>
    <w:p>
      <w:pPr>
        <w:pStyle w:val="10"/>
        <w:spacing w:before="240" w:after="120"/>
        <w:outlineLvl w:val="9"/>
        <w:rPr>
          <w:b/>
          <w:bCs/>
        </w:rPr>
      </w:pPr>
      <w:r>
        <w:rPr>
          <w:rFonts w:hint="eastAsia"/>
          <w:b/>
          <w:bCs/>
        </w:rPr>
        <w:t>产品</w:t>
      </w:r>
      <w:r>
        <w:rPr>
          <w:b/>
          <w:bCs/>
        </w:rPr>
        <w:t>管理人:四川银行股份有限公司</w:t>
      </w:r>
    </w:p>
    <w:p>
      <w:pPr>
        <w:pStyle w:val="10"/>
        <w:spacing w:before="240" w:after="120"/>
        <w:outlineLvl w:val="9"/>
        <w:rPr>
          <w:b/>
          <w:bCs/>
        </w:rPr>
      </w:pPr>
      <w:r>
        <w:rPr>
          <w:rFonts w:hint="eastAsia"/>
          <w:b/>
          <w:bCs/>
        </w:rPr>
        <w:t>产品</w:t>
      </w:r>
      <w:r>
        <w:rPr>
          <w:b/>
          <w:bCs/>
        </w:rPr>
        <w:t>托管人:南京银行股份有限公司</w:t>
      </w:r>
    </w:p>
    <w:p>
      <w:pPr>
        <w:pStyle w:val="10"/>
        <w:spacing w:before="240" w:after="120"/>
      </w:pPr>
      <w:r>
        <w:rPr>
          <w:rFonts w:hint="eastAsia"/>
          <w:b/>
          <w:bCs/>
        </w:rPr>
        <w:br w:type="page"/>
      </w:r>
      <w:r>
        <w:rPr>
          <w:rFonts w:hint="eastAsia"/>
          <w:b/>
          <w:bCs/>
        </w:rPr>
        <w:t>§1  重要提示</w:t>
      </w:r>
    </w:p>
    <w:p>
      <w:pPr>
        <w:spacing w:beforeLines="50" w:afterLines="50" w:line="600" w:lineRule="exact"/>
        <w:ind w:firstLine="440" w:firstLineChars="200"/>
        <w:rPr>
          <w:rFonts w:ascii="仿宋" w:hAnsi="仿宋" w:eastAsia="仿宋"/>
          <w:sz w:val="22"/>
          <w:szCs w:val="20"/>
        </w:rPr>
      </w:pPr>
      <w:r>
        <w:rPr>
          <w:rFonts w:hint="eastAsia" w:ascii="仿宋" w:hAnsi="仿宋" w:eastAsia="仿宋"/>
          <w:sz w:val="22"/>
          <w:szCs w:val="20"/>
        </w:rPr>
        <w:t>产品管理人保证本报告所载资料不存在虚假记载、误导性陈述或重大遗漏，并对其内容的真实性、准确性和完整性承担个别及连带责任。</w:t>
      </w:r>
    </w:p>
    <w:p>
      <w:pPr>
        <w:spacing w:beforeLines="50" w:afterLines="50" w:line="600" w:lineRule="exact"/>
        <w:ind w:firstLine="440" w:firstLineChars="200"/>
        <w:rPr>
          <w:rFonts w:ascii="仿宋" w:hAnsi="仿宋" w:eastAsia="仿宋"/>
          <w:sz w:val="22"/>
          <w:szCs w:val="20"/>
        </w:rPr>
      </w:pPr>
      <w:r>
        <w:rPr>
          <w:rFonts w:hint="eastAsia" w:ascii="仿宋" w:hAnsi="仿宋" w:eastAsia="仿宋"/>
          <w:sz w:val="22"/>
          <w:szCs w:val="20"/>
        </w:rPr>
        <w:t>产品托管人南京银行股份有限公司，已复核了本报告中的财务指标、净值表现和投资组合报告等内容，保证复核内容不存在虚假记载、误导性陈述或者重大遗漏。</w:t>
      </w:r>
    </w:p>
    <w:p>
      <w:pPr>
        <w:spacing w:beforeLines="50" w:afterLines="50" w:line="600" w:lineRule="exact"/>
        <w:ind w:firstLine="440" w:firstLineChars="200"/>
        <w:rPr>
          <w:rFonts w:ascii="仿宋" w:hAnsi="仿宋" w:eastAsia="仿宋"/>
          <w:sz w:val="22"/>
          <w:szCs w:val="20"/>
        </w:rPr>
      </w:pPr>
      <w:r>
        <w:rPr>
          <w:rFonts w:hint="eastAsia" w:ascii="仿宋" w:hAnsi="仿宋" w:eastAsia="仿宋"/>
          <w:sz w:val="22"/>
          <w:szCs w:val="20"/>
        </w:rPr>
        <w:t>本报告中财务资料未经审计。</w:t>
      </w:r>
    </w:p>
    <w:p>
      <w:pPr>
        <w:pStyle w:val="10"/>
        <w:ind w:leftChars="7" w:firstLine="440" w:firstLineChars="200"/>
        <w:jc w:val="left"/>
        <w:rPr>
          <w:rFonts w:hint="eastAsia" w:ascii="仿宋" w:hAnsi="仿宋" w:eastAsia="仿宋"/>
          <w:sz w:val="22"/>
          <w:szCs w:val="20"/>
        </w:rPr>
      </w:pPr>
      <w:r>
        <w:rPr>
          <w:rFonts w:hint="eastAsia" w:ascii="仿宋" w:hAnsi="仿宋" w:eastAsia="仿宋"/>
          <w:sz w:val="22"/>
          <w:szCs w:val="20"/>
        </w:rPr>
        <w:t>本报告期自</w:t>
      </w:r>
      <w:r>
        <w:rPr>
          <w:rFonts w:ascii="仿宋" w:hAnsi="仿宋" w:eastAsia="仿宋"/>
          <w:sz w:val="22"/>
          <w:szCs w:val="20"/>
        </w:rPr>
        <w:t>202</w:t>
      </w:r>
      <w:r>
        <w:rPr>
          <w:rFonts w:hint="eastAsia" w:ascii="仿宋" w:hAnsi="仿宋" w:eastAsia="仿宋"/>
          <w:sz w:val="22"/>
          <w:szCs w:val="20"/>
        </w:rPr>
        <w:t>3年07月</w:t>
      </w:r>
      <w:r>
        <w:rPr>
          <w:rFonts w:ascii="仿宋" w:hAnsi="仿宋" w:eastAsia="仿宋"/>
          <w:sz w:val="22"/>
          <w:szCs w:val="20"/>
        </w:rPr>
        <w:t>01</w:t>
      </w:r>
      <w:r>
        <w:rPr>
          <w:rFonts w:hint="eastAsia" w:ascii="仿宋" w:hAnsi="仿宋" w:eastAsia="仿宋"/>
          <w:sz w:val="22"/>
          <w:szCs w:val="20"/>
        </w:rPr>
        <w:t>日起至</w:t>
      </w:r>
      <w:r>
        <w:rPr>
          <w:rFonts w:ascii="仿宋" w:hAnsi="仿宋" w:eastAsia="仿宋"/>
          <w:sz w:val="22"/>
          <w:szCs w:val="20"/>
        </w:rPr>
        <w:t>202</w:t>
      </w:r>
      <w:r>
        <w:rPr>
          <w:rFonts w:hint="eastAsia" w:ascii="仿宋" w:hAnsi="仿宋" w:eastAsia="仿宋"/>
          <w:sz w:val="22"/>
          <w:szCs w:val="20"/>
        </w:rPr>
        <w:t>3年09月</w:t>
      </w:r>
      <w:r>
        <w:rPr>
          <w:rFonts w:ascii="仿宋" w:hAnsi="仿宋" w:eastAsia="仿宋"/>
          <w:sz w:val="22"/>
          <w:szCs w:val="20"/>
        </w:rPr>
        <w:t>3</w:t>
      </w:r>
      <w:r>
        <w:rPr>
          <w:rFonts w:hint="eastAsia" w:ascii="仿宋" w:hAnsi="仿宋" w:eastAsia="仿宋"/>
          <w:sz w:val="22"/>
          <w:szCs w:val="20"/>
        </w:rPr>
        <w:t>0日止。</w:t>
      </w:r>
    </w:p>
    <w:p>
      <w:pPr>
        <w:pStyle w:val="10"/>
        <w:ind w:leftChars="7" w:firstLine="480" w:firstLineChars="200"/>
        <w:rPr>
          <w:rFonts w:hint="eastAsia" w:hAnsi="Calibri"/>
          <w:b/>
          <w:color w:val="000000"/>
        </w:rPr>
      </w:pPr>
      <w:r>
        <w:br w:type="page"/>
      </w:r>
      <w:r>
        <w:rPr>
          <w:rFonts w:hint="eastAsia" w:hAnsi="Calibri"/>
          <w:b/>
          <w:color w:val="000000"/>
        </w:rPr>
        <w:t>§2  产品概况</w:t>
      </w:r>
    </w:p>
    <w:tbl>
      <w:tblPr>
        <w:tblStyle w:val="4"/>
        <w:tblpPr w:leftFromText="180" w:rightFromText="180" w:vertAnchor="text" w:horzAnchor="margin" w:tblpY="8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07"/>
        <w:gridCol w:w="5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产品名称</w:t>
            </w:r>
          </w:p>
        </w:tc>
        <w:tc>
          <w:tcPr>
            <w:tcW w:w="3236" w:type="pct"/>
            <w:vAlign w:val="center"/>
          </w:tcPr>
          <w:p>
            <w:pPr>
              <w:rPr>
                <w:rFonts w:ascii="宋体" w:cs="宋体"/>
                <w:kern w:val="0"/>
                <w:sz w:val="24"/>
                <w:szCs w:val="24"/>
              </w:rPr>
            </w:pPr>
            <w:r>
              <w:rPr>
                <w:rFonts w:hint="eastAsia" w:ascii="宋体" w:hAnsi="宋体" w:cs="宋体"/>
                <w:kern w:val="0"/>
                <w:sz w:val="24"/>
                <w:szCs w:val="24"/>
              </w:rPr>
              <w:t>净值型系列封闭式第120期人民币理财产品（先到利B款半年分红）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产品登记编码</w:t>
            </w:r>
          </w:p>
        </w:tc>
        <w:tc>
          <w:tcPr>
            <w:tcW w:w="3236" w:type="pct"/>
            <w:vAlign w:val="center"/>
          </w:tcPr>
          <w:p>
            <w:pPr>
              <w:rPr>
                <w:rFonts w:ascii="宋体" w:cs="宋体"/>
                <w:kern w:val="0"/>
                <w:sz w:val="24"/>
                <w:szCs w:val="24"/>
              </w:rPr>
            </w:pPr>
            <w:r>
              <w:rPr>
                <w:rFonts w:ascii="宋体" w:hAnsi="宋体" w:cs="宋体"/>
                <w:kern w:val="0"/>
                <w:sz w:val="24"/>
                <w:szCs w:val="24"/>
              </w:rPr>
              <w:t>C1</w:t>
            </w:r>
            <w:r>
              <w:rPr>
                <w:rFonts w:hint="eastAsia" w:ascii="宋体" w:hAnsi="宋体" w:cs="宋体"/>
                <w:kern w:val="0"/>
                <w:sz w:val="24"/>
                <w:szCs w:val="24"/>
              </w:rPr>
              <w:t>438121000107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产品类型</w:t>
            </w:r>
          </w:p>
        </w:tc>
        <w:tc>
          <w:tcPr>
            <w:tcW w:w="3236" w:type="pct"/>
            <w:vAlign w:val="center"/>
          </w:tcPr>
          <w:p>
            <w:pPr>
              <w:rPr>
                <w:rFonts w:ascii="宋体" w:cs="宋体"/>
                <w:kern w:val="0"/>
                <w:sz w:val="24"/>
                <w:szCs w:val="24"/>
              </w:rPr>
            </w:pPr>
            <w:r>
              <w:rPr>
                <w:rFonts w:hint="eastAsia" w:ascii="宋体" w:hAnsi="宋体" w:cs="宋体"/>
                <w:kern w:val="0"/>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报告期末产品存续规模（份）</w:t>
            </w:r>
          </w:p>
        </w:tc>
        <w:tc>
          <w:tcPr>
            <w:tcW w:w="3236" w:type="pct"/>
            <w:vAlign w:val="center"/>
          </w:tcPr>
          <w:p>
            <w:pPr>
              <w:pStyle w:val="14"/>
              <w:wordWrap w:val="0"/>
            </w:pPr>
            <w:r>
              <w:rPr>
                <w:rFonts w:hint="eastAsia"/>
              </w:rPr>
              <w:t>53,090,000.00份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投资类型</w:t>
            </w:r>
          </w:p>
        </w:tc>
        <w:tc>
          <w:tcPr>
            <w:tcW w:w="3236" w:type="pct"/>
            <w:vAlign w:val="center"/>
          </w:tcPr>
          <w:p>
            <w:pPr>
              <w:rPr>
                <w:rFonts w:ascii="宋体" w:cs="宋体"/>
                <w:kern w:val="0"/>
                <w:sz w:val="24"/>
                <w:szCs w:val="24"/>
              </w:rPr>
            </w:pPr>
            <w:r>
              <w:rPr>
                <w:rFonts w:hint="eastAsia" w:ascii="宋体" w:hAnsi="宋体" w:cs="宋体"/>
                <w:kern w:val="0"/>
                <w:sz w:val="24"/>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投资范围</w:t>
            </w:r>
          </w:p>
        </w:tc>
        <w:tc>
          <w:tcPr>
            <w:tcW w:w="3236" w:type="pct"/>
            <w:vAlign w:val="center"/>
          </w:tcPr>
          <w:p>
            <w:pPr>
              <w:rPr>
                <w:rFonts w:ascii="宋体" w:cs="宋体"/>
                <w:kern w:val="0"/>
                <w:sz w:val="24"/>
                <w:szCs w:val="24"/>
              </w:rPr>
            </w:pPr>
            <w:r>
              <w:rPr>
                <w:rFonts w:hint="eastAsia" w:ascii="宋体" w:hAnsi="宋体" w:cs="宋体"/>
                <w:kern w:val="0"/>
                <w:sz w:val="24"/>
                <w:szCs w:val="24"/>
              </w:rPr>
              <w:t>本期产品理财资金投资于符合监管要求的投资工具，包括：货币市场工具、固定收益类资产、符合前述投向的信托计划及产品；投资于债券和货币市场金融工具的比例为2</w:t>
            </w:r>
            <w:r>
              <w:rPr>
                <w:rFonts w:ascii="宋体" w:hAnsi="宋体" w:cs="宋体"/>
                <w:kern w:val="0"/>
                <w:sz w:val="24"/>
                <w:szCs w:val="24"/>
              </w:rPr>
              <w:t>0%-100%</w:t>
            </w:r>
            <w:r>
              <w:rPr>
                <w:rFonts w:hint="eastAsia" w:ascii="宋体" w:hAnsi="宋体" w:cs="宋体"/>
                <w:kern w:val="0"/>
                <w:sz w:val="24"/>
                <w:szCs w:val="24"/>
              </w:rPr>
              <w:t>，投资于债权类资产的比例为0%-80%。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产品费率</w:t>
            </w:r>
          </w:p>
        </w:tc>
        <w:tc>
          <w:tcPr>
            <w:tcW w:w="3236" w:type="pct"/>
            <w:vAlign w:val="center"/>
          </w:tcPr>
          <w:p>
            <w:pPr>
              <w:rPr>
                <w:rFonts w:ascii="宋体" w:cs="宋体"/>
                <w:kern w:val="0"/>
                <w:sz w:val="24"/>
                <w:szCs w:val="24"/>
              </w:rPr>
            </w:pPr>
            <w:r>
              <w:rPr>
                <w:rFonts w:hint="eastAsia" w:ascii="宋体" w:hAnsi="宋体" w:cs="宋体"/>
                <w:kern w:val="0"/>
                <w:sz w:val="24"/>
                <w:szCs w:val="24"/>
              </w:rPr>
              <w:t>本产品收取固定管理费0.3%/年和固定托管费</w:t>
            </w:r>
            <w:r>
              <w:rPr>
                <w:rFonts w:ascii="宋体" w:cs="宋体"/>
                <w:kern w:val="0"/>
                <w:sz w:val="24"/>
                <w:szCs w:val="24"/>
              </w:rPr>
              <w:t>0.0</w:t>
            </w:r>
            <w:r>
              <w:rPr>
                <w:rFonts w:hint="eastAsia" w:ascii="宋体" w:hAnsi="宋体" w:cs="宋体"/>
                <w:kern w:val="0"/>
                <w:sz w:val="24"/>
                <w:szCs w:val="24"/>
              </w:rPr>
              <w:t>2</w:t>
            </w:r>
            <w:r>
              <w:rPr>
                <w:rFonts w:ascii="宋体" w:hAnsi="宋体" w:cs="宋体"/>
                <w:kern w:val="0"/>
                <w:sz w:val="24"/>
                <w:szCs w:val="24"/>
              </w:rPr>
              <w:t>%/</w:t>
            </w:r>
            <w:r>
              <w:rPr>
                <w:rFonts w:hint="eastAsia" w:ascii="宋体" w:hAnsi="宋体" w:cs="宋体"/>
                <w:kern w:val="0"/>
                <w:sz w:val="24"/>
                <w:szCs w:val="24"/>
              </w:rPr>
              <w:t>年和超额业绩报酬（如有）。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产品成立日</w:t>
            </w:r>
          </w:p>
        </w:tc>
        <w:tc>
          <w:tcPr>
            <w:tcW w:w="3236" w:type="pct"/>
            <w:vAlign w:val="center"/>
          </w:tcPr>
          <w:p>
            <w:r>
              <w:rPr>
                <w:rFonts w:hint="eastAsia" w:ascii="宋体" w:hAnsi="宋体" w:cs="宋体"/>
                <w:kern w:val="0"/>
                <w:sz w:val="24"/>
                <w:szCs w:val="24"/>
              </w:rPr>
              <w:t>2022年01月20日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产品终止日</w:t>
            </w:r>
          </w:p>
        </w:tc>
        <w:tc>
          <w:tcPr>
            <w:tcW w:w="3236" w:type="pct"/>
            <w:vAlign w:val="center"/>
          </w:tcPr>
          <w:p>
            <w:pPr>
              <w:rPr>
                <w:rFonts w:ascii="宋体" w:cs="宋体"/>
                <w:kern w:val="0"/>
                <w:sz w:val="24"/>
                <w:szCs w:val="24"/>
              </w:rPr>
            </w:pPr>
            <w:r>
              <w:rPr>
                <w:rFonts w:ascii="宋体" w:hAnsi="宋体" w:cs="宋体"/>
                <w:kern w:val="0"/>
                <w:sz w:val="24"/>
                <w:szCs w:val="24"/>
              </w:rPr>
              <w:t>202</w:t>
            </w:r>
            <w:r>
              <w:rPr>
                <w:rFonts w:hint="eastAsia" w:ascii="宋体" w:hAnsi="宋体" w:cs="宋体"/>
                <w:kern w:val="0"/>
                <w:sz w:val="24"/>
                <w:szCs w:val="24"/>
              </w:rPr>
              <w:t>5年01月15日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产品估值方法</w:t>
            </w:r>
          </w:p>
        </w:tc>
        <w:tc>
          <w:tcPr>
            <w:tcW w:w="3236" w:type="pct"/>
            <w:vAlign w:val="center"/>
          </w:tcPr>
          <w:p>
            <w:pPr>
              <w:rPr>
                <w:rFonts w:ascii="宋体" w:cs="宋体"/>
                <w:kern w:val="0"/>
                <w:sz w:val="24"/>
                <w:szCs w:val="24"/>
              </w:rPr>
            </w:pPr>
            <w:r>
              <w:rPr>
                <w:rFonts w:hint="eastAsia" w:ascii="宋体" w:hAnsi="宋体" w:cs="宋体"/>
                <w:kern w:val="0"/>
                <w:sz w:val="24"/>
                <w:szCs w:val="24"/>
              </w:rPr>
              <w:t>以持有至到期为目的的按摊余成本法估值，以交易为目的持有的按市价法估值。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杠杆水平</w:t>
            </w:r>
          </w:p>
        </w:tc>
        <w:tc>
          <w:tcPr>
            <w:tcW w:w="3236" w:type="pct"/>
            <w:vAlign w:val="center"/>
          </w:tcPr>
          <w:p>
            <w:pPr>
              <w:rPr>
                <w:rFonts w:ascii="宋体" w:hAnsi="宋体" w:cs="宋体"/>
                <w:kern w:val="0"/>
                <w:sz w:val="24"/>
                <w:szCs w:val="24"/>
              </w:rPr>
            </w:pPr>
            <w:r>
              <w:rPr>
                <w:rFonts w:ascii="宋体" w:hAnsi="宋体" w:cs="宋体"/>
                <w:kern w:val="0"/>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业绩比较基准</w:t>
            </w:r>
          </w:p>
        </w:tc>
        <w:tc>
          <w:tcPr>
            <w:tcW w:w="3236" w:type="pct"/>
            <w:vAlign w:val="center"/>
          </w:tcPr>
          <w:p>
            <w:pPr>
              <w:rPr>
                <w:rFonts w:ascii="宋体" w:cs="宋体"/>
                <w:kern w:val="0"/>
                <w:sz w:val="24"/>
                <w:szCs w:val="24"/>
              </w:rPr>
            </w:pPr>
            <w:r>
              <w:rPr>
                <w:rFonts w:hint="eastAsia" w:ascii="宋体" w:hAnsi="宋体" w:cs="宋体"/>
                <w:kern w:val="0"/>
                <w:sz w:val="24"/>
                <w:szCs w:val="24"/>
              </w:rPr>
              <w:t>4.60</w:t>
            </w:r>
            <w:r>
              <w:rPr>
                <w:rFonts w:ascii="宋体" w:hAnsi="宋体" w:cs="宋体"/>
                <w:kern w:val="0"/>
                <w:sz w:val="24"/>
                <w:szCs w:val="24"/>
              </w:rPr>
              <w:t>%/</w:t>
            </w:r>
            <w:r>
              <w:rPr>
                <w:rFonts w:hint="eastAsia" w:ascii="宋体" w:hAnsi="宋体" w:cs="宋体"/>
                <w:kern w:val="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风险等级</w:t>
            </w:r>
          </w:p>
        </w:tc>
        <w:tc>
          <w:tcPr>
            <w:tcW w:w="3236" w:type="pct"/>
            <w:vAlign w:val="center"/>
          </w:tcPr>
          <w:p>
            <w:pPr>
              <w:rPr>
                <w:rFonts w:ascii="宋体" w:cs="宋体"/>
                <w:kern w:val="0"/>
                <w:sz w:val="24"/>
                <w:szCs w:val="24"/>
              </w:rPr>
            </w:pPr>
            <w:r>
              <w:rPr>
                <w:rFonts w:hint="eastAsia" w:ascii="宋体" w:hAnsi="宋体" w:cs="宋体"/>
                <w:kern w:val="0"/>
                <w:sz w:val="24"/>
                <w:szCs w:val="24"/>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产品管理人</w:t>
            </w:r>
          </w:p>
        </w:tc>
        <w:tc>
          <w:tcPr>
            <w:tcW w:w="3236" w:type="pct"/>
            <w:vAlign w:val="center"/>
          </w:tcPr>
          <w:p>
            <w:pPr>
              <w:rPr>
                <w:rFonts w:ascii="宋体" w:cs="宋体"/>
                <w:kern w:val="0"/>
                <w:sz w:val="24"/>
                <w:szCs w:val="24"/>
              </w:rPr>
            </w:pPr>
            <w:r>
              <w:rPr>
                <w:rFonts w:hint="eastAsia" w:ascii="宋体" w:cs="宋体"/>
                <w:kern w:val="0"/>
                <w:sz w:val="24"/>
                <w:szCs w:val="24"/>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产品托管人</w:t>
            </w:r>
          </w:p>
        </w:tc>
        <w:tc>
          <w:tcPr>
            <w:tcW w:w="3236" w:type="pct"/>
            <w:vAlign w:val="center"/>
          </w:tcPr>
          <w:p>
            <w:pPr>
              <w:rPr>
                <w:rFonts w:ascii="宋体" w:cs="宋体"/>
                <w:kern w:val="0"/>
                <w:sz w:val="24"/>
                <w:szCs w:val="24"/>
              </w:rPr>
            </w:pPr>
            <w:r>
              <w:rPr>
                <w:rFonts w:hint="eastAsia" w:ascii="宋体" w:hAnsi="宋体" w:cs="宋体"/>
                <w:kern w:val="0"/>
                <w:sz w:val="24"/>
                <w:szCs w:val="24"/>
              </w:rPr>
              <w:t>南京银行股份有限公司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764" w:type="pct"/>
            <w:vAlign w:val="center"/>
          </w:tcPr>
          <w:p>
            <w:pPr>
              <w:rPr>
                <w:rFonts w:ascii="仿宋" w:hAnsi="仿宋" w:eastAsia="仿宋"/>
                <w:b/>
                <w:szCs w:val="21"/>
                <w:shd w:val="clear" w:color="auto" w:fill="FFFFFF"/>
              </w:rPr>
            </w:pPr>
            <w:r>
              <w:rPr>
                <w:rFonts w:hint="eastAsia" w:ascii="仿宋" w:hAnsi="仿宋" w:eastAsia="仿宋"/>
                <w:b/>
                <w:szCs w:val="21"/>
                <w:shd w:val="clear" w:color="auto" w:fill="FFFFFF"/>
              </w:rPr>
              <w:t>投资账户信息</w:t>
            </w:r>
          </w:p>
        </w:tc>
        <w:tc>
          <w:tcPr>
            <w:tcW w:w="3236" w:type="pct"/>
            <w:vAlign w:val="center"/>
          </w:tcPr>
          <w:p>
            <w:pPr>
              <w:rPr>
                <w:rFonts w:hint="eastAsia" w:ascii="宋体" w:hAnsi="宋体" w:cs="宋体"/>
                <w:kern w:val="0"/>
                <w:sz w:val="24"/>
                <w:szCs w:val="24"/>
              </w:rPr>
            </w:pPr>
            <w:r>
              <w:rPr>
                <w:rFonts w:hint="eastAsia" w:ascii="宋体" w:hAnsi="宋体" w:cs="宋体"/>
                <w:kern w:val="0"/>
                <w:sz w:val="24"/>
                <w:szCs w:val="24"/>
              </w:rPr>
              <w:t>户名:南京银行北京分行</w:t>
            </w:r>
            <w:r>
              <w:rPr>
                <w:rFonts w:ascii="宋体" w:hAnsi="宋体" w:cs="宋体"/>
                <w:kern w:val="0"/>
                <w:sz w:val="24"/>
                <w:szCs w:val="24"/>
              </w:rPr>
              <w:t>四川银行封闭净值型第</w:t>
            </w:r>
            <w:r>
              <w:rPr>
                <w:rFonts w:hint="eastAsia" w:ascii="宋体" w:hAnsi="宋体" w:cs="宋体"/>
                <w:kern w:val="0"/>
                <w:sz w:val="24"/>
                <w:szCs w:val="24"/>
              </w:rPr>
              <w:t>120</w:t>
            </w:r>
            <w:r>
              <w:rPr>
                <w:rFonts w:ascii="宋体" w:hAnsi="宋体" w:cs="宋体"/>
                <w:kern w:val="0"/>
                <w:sz w:val="24"/>
                <w:szCs w:val="24"/>
              </w:rPr>
              <w:t>期理财产品</w:t>
            </w:r>
          </w:p>
          <w:p>
            <w:pPr>
              <w:rPr>
                <w:rFonts w:ascii="宋体" w:hAnsi="宋体" w:cs="宋体"/>
                <w:kern w:val="0"/>
                <w:sz w:val="24"/>
                <w:szCs w:val="24"/>
              </w:rPr>
            </w:pPr>
            <w:r>
              <w:rPr>
                <w:rFonts w:hint="eastAsia" w:ascii="宋体" w:hAnsi="宋体" w:cs="宋体"/>
                <w:kern w:val="0"/>
                <w:sz w:val="24"/>
                <w:szCs w:val="24"/>
              </w:rPr>
              <w:t>账号：</w:t>
            </w:r>
            <w:r>
              <w:rPr>
                <w:rFonts w:ascii="宋体" w:hAnsi="宋体" w:cs="宋体"/>
                <w:kern w:val="0"/>
                <w:sz w:val="24"/>
                <w:szCs w:val="24"/>
              </w:rPr>
              <w:t>0501080000000324</w:t>
            </w:r>
          </w:p>
          <w:p>
            <w:pPr>
              <w:rPr>
                <w:rFonts w:ascii="仿宋" w:hAnsi="仿宋" w:eastAsia="仿宋"/>
                <w:szCs w:val="21"/>
                <w:shd w:val="clear" w:color="auto" w:fill="FFFFFF"/>
              </w:rPr>
            </w:pPr>
            <w:r>
              <w:rPr>
                <w:rFonts w:hint="eastAsia" w:ascii="宋体" w:hAnsi="宋体" w:cs="宋体"/>
                <w:kern w:val="0"/>
                <w:sz w:val="24"/>
                <w:szCs w:val="24"/>
              </w:rPr>
              <w:t>开户行：南京银行北京分行</w:t>
            </w:r>
          </w:p>
        </w:tc>
      </w:tr>
    </w:tbl>
    <w:p>
      <w:pPr>
        <w:pStyle w:val="10"/>
        <w:spacing w:before="240" w:after="120"/>
        <w:rPr>
          <w:rFonts w:hint="eastAsia"/>
        </w:rPr>
      </w:pPr>
    </w:p>
    <w:p>
      <w:pPr>
        <w:pStyle w:val="10"/>
        <w:rPr>
          <w:rFonts w:hint="eastAsia"/>
        </w:rPr>
      </w:pPr>
      <w:r>
        <w:rPr>
          <w:rFonts w:hint="eastAsia" w:hAnsi="Calibri"/>
          <w:b/>
          <w:color w:val="000000"/>
        </w:rPr>
        <w:t>§3  主要财务指标</w:t>
      </w:r>
    </w:p>
    <w:p>
      <w:pPr>
        <w:widowControl/>
        <w:autoSpaceDE w:val="0"/>
        <w:autoSpaceDN w:val="0"/>
        <w:adjustRightInd w:val="0"/>
        <w:spacing w:line="288" w:lineRule="auto"/>
        <w:jc w:val="right"/>
        <w:rPr>
          <w:rFonts w:hint="eastAsia" w:ascii="宋体" w:hAnsi="宋体" w:cs="宋体"/>
          <w:kern w:val="0"/>
          <w:sz w:val="24"/>
          <w:szCs w:val="24"/>
        </w:rPr>
      </w:pPr>
      <w:r>
        <w:rPr>
          <w:rFonts w:hint="eastAsia" w:ascii="宋体" w:cs="宋体"/>
          <w:color w:val="000000"/>
          <w:kern w:val="0"/>
          <w:sz w:val="24"/>
          <w:szCs w:val="24"/>
        </w:rPr>
        <w:t>单位：人民币元</w:t>
      </w:r>
    </w:p>
    <w:tbl>
      <w:tblPr>
        <w:tblStyle w:val="4"/>
        <w:tblW w:w="9045" w:type="dxa"/>
        <w:tblInd w:w="108" w:type="dxa"/>
        <w:tblLayout w:type="autofit"/>
        <w:tblCellMar>
          <w:top w:w="0" w:type="dxa"/>
          <w:left w:w="108" w:type="dxa"/>
          <w:bottom w:w="0" w:type="dxa"/>
          <w:right w:w="108" w:type="dxa"/>
        </w:tblCellMar>
      </w:tblPr>
      <w:tblGrid>
        <w:gridCol w:w="4071"/>
        <w:gridCol w:w="4974"/>
      </w:tblGrid>
      <w:tr>
        <w:tblPrEx>
          <w:tblCellMar>
            <w:top w:w="0" w:type="dxa"/>
            <w:left w:w="108" w:type="dxa"/>
            <w:bottom w:w="0" w:type="dxa"/>
            <w:right w:w="108" w:type="dxa"/>
          </w:tblCellMar>
        </w:tblPrEx>
        <w:tc>
          <w:tcPr>
            <w:tcW w:w="4071"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b/>
                <w:bCs/>
              </w:rPr>
              <w:t>主要财务指标</w:t>
            </w:r>
          </w:p>
        </w:tc>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rPr>
              <w:t>报告期（2023年07月01日 - 2023年09月30日）</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1.本期已实现收益</w:t>
            </w:r>
          </w:p>
        </w:tc>
        <w:tc>
          <w:tcPr>
            <w:tcW w:w="0" w:type="auto"/>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585,163.10</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2.本期利润</w:t>
            </w:r>
          </w:p>
        </w:tc>
        <w:tc>
          <w:tcPr>
            <w:tcW w:w="0" w:type="auto"/>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615,553.10</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3.期末产品资产净值</w:t>
            </w:r>
          </w:p>
        </w:tc>
        <w:tc>
          <w:tcPr>
            <w:tcW w:w="0" w:type="auto"/>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53,832,678.19</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4.期末产品份额净值</w:t>
            </w:r>
          </w:p>
        </w:tc>
        <w:tc>
          <w:tcPr>
            <w:tcW w:w="0" w:type="auto"/>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1.0140</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5.期末产品份额累计净值</w:t>
            </w:r>
          </w:p>
        </w:tc>
        <w:tc>
          <w:tcPr>
            <w:tcW w:w="0" w:type="auto"/>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1.0780</w:t>
            </w:r>
          </w:p>
        </w:tc>
      </w:tr>
    </w:tbl>
    <w:p>
      <w:pPr>
        <w:pStyle w:val="14"/>
        <w:ind w:left="0"/>
        <w:rPr>
          <w:rFonts w:hint="eastAsia"/>
        </w:rPr>
      </w:pPr>
    </w:p>
    <w:p>
      <w:pPr>
        <w:pStyle w:val="10"/>
      </w:pPr>
      <w:r>
        <w:rPr>
          <w:rFonts w:hint="eastAsia" w:hAnsi="Calibri"/>
          <w:b/>
          <w:color w:val="000000"/>
        </w:rPr>
        <w:t>§</w:t>
      </w:r>
      <w:r>
        <w:rPr>
          <w:rFonts w:hAnsi="Calibri"/>
          <w:b/>
          <w:color w:val="000000"/>
        </w:rPr>
        <w:t xml:space="preserve">4 </w:t>
      </w:r>
      <w:r>
        <w:rPr>
          <w:rFonts w:hint="eastAsia" w:hAnsi="Calibri"/>
          <w:b/>
          <w:color w:val="000000"/>
        </w:rPr>
        <w:t>业绩表现</w:t>
      </w:r>
    </w:p>
    <w:p>
      <w:pPr>
        <w:pStyle w:val="14"/>
        <w:ind w:firstLine="480"/>
        <w:rPr>
          <w:rFonts w:hint="eastAsia"/>
        </w:rPr>
      </w:pPr>
      <w:r>
        <w:rPr>
          <w:rFonts w:hint="eastAsia"/>
        </w:rPr>
        <w:t>报告期末产品份额净值为1.0140元，产品份额累计净值为1.0780。</w:t>
      </w:r>
    </w:p>
    <w:p>
      <w:pPr>
        <w:widowControl/>
        <w:jc w:val="left"/>
        <w:rPr>
          <w:rFonts w:hint="eastAsia" w:ascii="宋体" w:hAnsi="宋体" w:cs="宋体"/>
          <w:kern w:val="0"/>
          <w:sz w:val="24"/>
          <w:szCs w:val="24"/>
        </w:rPr>
      </w:pPr>
    </w:p>
    <w:p>
      <w:pPr>
        <w:widowControl/>
        <w:jc w:val="left"/>
        <w:rPr>
          <w:rFonts w:hint="eastAsia" w:ascii="宋体" w:hAnsi="宋体" w:cs="宋体"/>
          <w:kern w:val="0"/>
          <w:sz w:val="24"/>
          <w:szCs w:val="24"/>
        </w:rPr>
      </w:pPr>
    </w:p>
    <w:p>
      <w:pPr>
        <w:pStyle w:val="10"/>
        <w:rPr>
          <w:rFonts w:hint="eastAsia"/>
        </w:rPr>
      </w:pPr>
      <w:r>
        <w:rPr>
          <w:rFonts w:hint="eastAsia" w:hAnsi="Calibri"/>
          <w:b/>
          <w:color w:val="000000"/>
        </w:rPr>
        <w:t>§5  投资组合报告</w:t>
      </w:r>
    </w:p>
    <w:p>
      <w:pPr>
        <w:widowControl/>
        <w:jc w:val="left"/>
        <w:rPr>
          <w:rFonts w:hint="eastAsia" w:ascii="宋体" w:hAnsi="宋体" w:cs="宋体"/>
          <w:kern w:val="0"/>
          <w:sz w:val="24"/>
          <w:szCs w:val="24"/>
        </w:rPr>
      </w:pPr>
    </w:p>
    <w:p>
      <w:pPr>
        <w:pStyle w:val="11"/>
        <w:rPr>
          <w:rFonts w:hint="eastAsia"/>
        </w:rPr>
      </w:pPr>
      <w:r>
        <w:rPr>
          <w:rFonts w:hint="eastAsia"/>
          <w:b/>
          <w:bCs/>
        </w:rPr>
        <w:t>5.1 报告期末产品资产组合情况</w:t>
      </w:r>
    </w:p>
    <w:tbl>
      <w:tblPr>
        <w:tblStyle w:val="4"/>
        <w:tblW w:w="0" w:type="auto"/>
        <w:tblInd w:w="108" w:type="dxa"/>
        <w:tblLayout w:type="autofit"/>
        <w:tblCellMar>
          <w:top w:w="0" w:type="dxa"/>
          <w:left w:w="108" w:type="dxa"/>
          <w:bottom w:w="0" w:type="dxa"/>
          <w:right w:w="108" w:type="dxa"/>
        </w:tblCellMar>
      </w:tblPr>
      <w:tblGrid>
        <w:gridCol w:w="754"/>
        <w:gridCol w:w="2695"/>
        <w:gridCol w:w="2523"/>
        <w:gridCol w:w="2442"/>
      </w:tblGrid>
      <w:tr>
        <w:tblPrEx>
          <w:tblCellMar>
            <w:top w:w="0" w:type="dxa"/>
            <w:left w:w="108" w:type="dxa"/>
            <w:bottom w:w="0" w:type="dxa"/>
            <w:right w:w="108" w:type="dxa"/>
          </w:tblCellMar>
        </w:tblPrEx>
        <w:tc>
          <w:tcPr>
            <w:tcW w:w="754"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序号</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项目</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金额（元）</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占产品总资产的比例（%）</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1</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权益投资</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rPr>
                <w:rFonts w:ascii="宋体" w:hAnsi="宋体" w:cs="宋体"/>
                <w:kern w:val="0"/>
                <w:sz w:val="24"/>
                <w:szCs w:val="24"/>
              </w:rPr>
            </w:pP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其中：股票</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2</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基金投资</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3</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固定收益投资</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50,958,910.92</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94.08</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rPr>
                <w:rFonts w:ascii="宋体" w:hAnsi="宋体" w:cs="宋体"/>
                <w:kern w:val="0"/>
                <w:sz w:val="24"/>
                <w:szCs w:val="24"/>
              </w:rPr>
            </w:pP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其中：债券</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50,958,910.92</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94.08</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rPr>
                <w:rFonts w:ascii="宋体" w:hAnsi="宋体" w:cs="宋体"/>
                <w:kern w:val="0"/>
                <w:sz w:val="24"/>
                <w:szCs w:val="24"/>
              </w:rPr>
            </w:pP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ind w:left="750"/>
            </w:pPr>
            <w:r>
              <w:rPr>
                <w:rFonts w:hint="eastAsia"/>
              </w:rPr>
              <w:t>资产支持证券</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4</w:t>
            </w:r>
          </w:p>
        </w:tc>
        <w:tc>
          <w:tcPr>
            <w:tcW w:w="0" w:type="auto"/>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贵金属投资</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5</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金融衍生品投资</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6</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买入返售金融资产</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rPr>
                <w:rFonts w:ascii="宋体" w:hAnsi="宋体" w:cs="宋体"/>
                <w:kern w:val="0"/>
                <w:sz w:val="24"/>
                <w:szCs w:val="24"/>
              </w:rPr>
            </w:pP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其中：买断式回购的买入返售金融资产</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7</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银行存款和结算备付金合计</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2,774,318.16</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5.12</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rPr>
              <w:t>8</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其他资产</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433,554.95</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0.80</w:t>
            </w:r>
          </w:p>
        </w:tc>
      </w:tr>
      <w:tr>
        <w:tblPrEx>
          <w:tblCellMar>
            <w:top w:w="0" w:type="dxa"/>
            <w:left w:w="108" w:type="dxa"/>
            <w:bottom w:w="0" w:type="dxa"/>
            <w:right w:w="108" w:type="dxa"/>
          </w:tblCellMar>
        </w:tblPrEx>
        <w:tc>
          <w:tcPr>
            <w:tcW w:w="0" w:type="auto"/>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rPr>
              <w:t>9</w:t>
            </w:r>
          </w:p>
        </w:tc>
        <w:tc>
          <w:tcPr>
            <w:tcW w:w="2695"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rPr>
              <w:t>合计</w:t>
            </w:r>
          </w:p>
        </w:tc>
        <w:tc>
          <w:tcPr>
            <w:tcW w:w="2523"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54,166,784.03</w:t>
            </w:r>
          </w:p>
        </w:tc>
        <w:tc>
          <w:tcPr>
            <w:tcW w:w="2442"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rPr>
              <w:t>100.00</w:t>
            </w:r>
          </w:p>
        </w:tc>
      </w:tr>
    </w:tbl>
    <w:p>
      <w:pPr>
        <w:pStyle w:val="11"/>
        <w:rPr>
          <w:rFonts w:hint="eastAsia"/>
          <w:b/>
          <w:bCs/>
        </w:rPr>
      </w:pPr>
    </w:p>
    <w:p>
      <w:pPr>
        <w:pStyle w:val="11"/>
        <w:rPr>
          <w:rFonts w:hint="eastAsia"/>
        </w:rPr>
      </w:pPr>
      <w:r>
        <w:rPr>
          <w:rFonts w:hint="eastAsia"/>
          <w:b/>
          <w:bCs/>
        </w:rPr>
        <w:t>5.2 报告期末按公允价值占产品资产净值比例大小排序的前十名资产投资明细</w:t>
      </w:r>
    </w:p>
    <w:tbl>
      <w:tblPr>
        <w:tblStyle w:val="4"/>
        <w:tblW w:w="0" w:type="auto"/>
        <w:tblInd w:w="108" w:type="dxa"/>
        <w:tblLayout w:type="autofit"/>
        <w:tblCellMar>
          <w:top w:w="0" w:type="dxa"/>
          <w:left w:w="108" w:type="dxa"/>
          <w:bottom w:w="0" w:type="dxa"/>
          <w:right w:w="108" w:type="dxa"/>
        </w:tblCellMar>
      </w:tblPr>
      <w:tblGrid>
        <w:gridCol w:w="687"/>
        <w:gridCol w:w="1191"/>
        <w:gridCol w:w="1394"/>
        <w:gridCol w:w="1477"/>
        <w:gridCol w:w="2188"/>
        <w:gridCol w:w="1477"/>
      </w:tblGrid>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rPr>
                <w:rFonts w:hint="eastAsia"/>
              </w:rPr>
            </w:pPr>
            <w:r>
              <w:rPr>
                <w:rFonts w:hint="eastAsia" w:hAnsi="Calibri"/>
                <w:color w:val="000000"/>
              </w:rPr>
              <w:t>序号</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5"/>
              <w:wordWrap w:val="0"/>
              <w:rPr>
                <w:rFonts w:hint="eastAsia"/>
              </w:rPr>
            </w:pPr>
            <w:r>
              <w:rPr>
                <w:rFonts w:hint="eastAsia" w:hAnsi="Calibri"/>
                <w:color w:val="000000"/>
              </w:rPr>
              <w:t>资产代码</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5"/>
              <w:wordWrap w:val="0"/>
              <w:rPr>
                <w:rFonts w:hint="eastAsia"/>
              </w:rPr>
            </w:pPr>
            <w:r>
              <w:rPr>
                <w:rFonts w:hint="eastAsia" w:hAnsi="Calibri"/>
                <w:color w:val="000000"/>
              </w:rPr>
              <w:t>资产名称</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5"/>
              <w:wordWrap w:val="0"/>
              <w:rPr>
                <w:rFonts w:hint="eastAsia"/>
              </w:rPr>
            </w:pPr>
            <w:r>
              <w:rPr>
                <w:rFonts w:hint="eastAsia" w:hAnsi="Calibri"/>
                <w:color w:val="000000"/>
              </w:rPr>
              <w:t>数量（张）</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5"/>
              <w:wordWrap w:val="0"/>
              <w:rPr>
                <w:rFonts w:hint="eastAsia"/>
              </w:rPr>
            </w:pPr>
            <w:r>
              <w:rPr>
                <w:rFonts w:hint="eastAsia" w:hAnsi="Calibri"/>
                <w:color w:val="000000"/>
              </w:rPr>
              <w:t>公允价值(元)</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5"/>
              <w:wordWrap w:val="0"/>
              <w:rPr>
                <w:rFonts w:hint="eastAsia"/>
              </w:rPr>
            </w:pPr>
            <w:r>
              <w:rPr>
                <w:rFonts w:hint="eastAsia" w:hAnsi="Calibri"/>
                <w:color w:val="000000"/>
              </w:rPr>
              <w:t>占产品资产净值比例（％）</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1</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197931</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21彭城02</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5,379,213.01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9.99</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2</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197815</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21海河V1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5,279,665.48</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9.81</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3</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197636</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21眉天01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5,249,758.57</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9.75</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4</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250314</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23达州01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5,237,286.23</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9.73</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5</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112386183</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23广西北部湾银行CD291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50,000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4,879,847.12</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9.06</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6</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102102099</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21港荣投资MTN001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4,248,979.70</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7.89</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7</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197923</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21金财01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4,208,000.36</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7.82</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8</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031900867</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19兴蜀投资PPN001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4,158,648.06</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7.73</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9</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151335</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19广元01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4,154,413.63</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7.72</w:t>
            </w:r>
          </w:p>
        </w:tc>
      </w:tr>
      <w:tr>
        <w:tblPrEx>
          <w:tblCellMar>
            <w:top w:w="0" w:type="dxa"/>
            <w:left w:w="108" w:type="dxa"/>
            <w:bottom w:w="0" w:type="dxa"/>
            <w:right w:w="108" w:type="dxa"/>
          </w:tblCellMar>
        </w:tblPrEx>
        <w:tc>
          <w:tcPr>
            <w:tcW w:w="687" w:type="dxa"/>
            <w:tcBorders>
              <w:top w:val="single" w:color="000000" w:sz="8" w:space="0"/>
              <w:left w:val="single" w:color="000000" w:sz="8" w:space="0"/>
              <w:bottom w:val="single" w:color="000000" w:sz="6" w:space="0"/>
              <w:right w:val="single" w:color="000000" w:sz="8" w:space="0"/>
            </w:tcBorders>
            <w:vAlign w:val="center"/>
          </w:tcPr>
          <w:p>
            <w:pPr>
              <w:pStyle w:val="15"/>
              <w:wordWrap w:val="0"/>
            </w:pPr>
            <w:r>
              <w:rPr>
                <w:rFonts w:hint="eastAsia" w:hAnsi="Calibri"/>
                <w:color w:val="000000"/>
              </w:rPr>
              <w:t>10</w:t>
            </w:r>
          </w:p>
        </w:tc>
        <w:tc>
          <w:tcPr>
            <w:tcW w:w="1191"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101900568</w:t>
            </w:r>
          </w:p>
        </w:tc>
        <w:tc>
          <w:tcPr>
            <w:tcW w:w="1394" w:type="dxa"/>
            <w:tcBorders>
              <w:top w:val="single" w:color="000000" w:sz="8" w:space="0"/>
              <w:left w:val="single" w:color="000000" w:sz="8" w:space="0"/>
              <w:bottom w:val="single" w:color="000000" w:sz="6" w:space="0"/>
              <w:right w:val="single" w:color="000000" w:sz="8" w:space="0"/>
            </w:tcBorders>
            <w:vAlign w:val="center"/>
          </w:tcPr>
          <w:p>
            <w:pPr>
              <w:pStyle w:val="14"/>
              <w:wordWrap w:val="0"/>
            </w:pPr>
            <w:r>
              <w:rPr>
                <w:rFonts w:hint="eastAsia" w:hAnsi="Calibri"/>
                <w:color w:val="000000"/>
              </w:rPr>
              <w:t>19南川城投MTN001</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40,000</w:t>
            </w:r>
          </w:p>
        </w:tc>
        <w:tc>
          <w:tcPr>
            <w:tcW w:w="2188"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4,133,966.66</w:t>
            </w:r>
          </w:p>
        </w:tc>
        <w:tc>
          <w:tcPr>
            <w:tcW w:w="1477" w:type="dxa"/>
            <w:tcBorders>
              <w:top w:val="single" w:color="000000" w:sz="8" w:space="0"/>
              <w:left w:val="single" w:color="000000" w:sz="8" w:space="0"/>
              <w:bottom w:val="single" w:color="000000" w:sz="6" w:space="0"/>
              <w:right w:val="single" w:color="000000" w:sz="8" w:space="0"/>
            </w:tcBorders>
            <w:vAlign w:val="center"/>
          </w:tcPr>
          <w:p>
            <w:pPr>
              <w:pStyle w:val="16"/>
              <w:wordWrap w:val="0"/>
            </w:pPr>
            <w:r>
              <w:rPr>
                <w:rFonts w:hint="eastAsia" w:hAnsi="Calibri"/>
                <w:color w:val="000000"/>
              </w:rPr>
              <w:t>7.68</w:t>
            </w:r>
          </w:p>
        </w:tc>
      </w:tr>
    </w:tbl>
    <w:p>
      <w:pPr>
        <w:widowControl/>
        <w:jc w:val="left"/>
        <w:rPr>
          <w:rFonts w:hint="eastAsia" w:ascii="宋体" w:hAnsi="宋体" w:cs="宋体"/>
          <w:kern w:val="0"/>
          <w:sz w:val="24"/>
          <w:szCs w:val="24"/>
        </w:rPr>
      </w:pPr>
    </w:p>
    <w:p>
      <w:pPr>
        <w:pStyle w:val="10"/>
        <w:spacing w:after="30"/>
        <w:ind w:left="17"/>
        <w:rPr>
          <w:rFonts w:hint="eastAsia" w:hAnsi="Calibri"/>
          <w:b/>
          <w:color w:val="000000"/>
        </w:rPr>
      </w:pPr>
      <w:r>
        <w:rPr>
          <w:rFonts w:hint="eastAsia" w:hAnsi="Calibri"/>
          <w:b/>
          <w:color w:val="000000"/>
        </w:rPr>
        <w:t>§6 托管人报告</w:t>
      </w:r>
    </w:p>
    <w:p>
      <w:pPr>
        <w:pStyle w:val="11"/>
        <w:rPr>
          <w:rFonts w:hint="eastAsia"/>
          <w:b/>
          <w:bCs/>
        </w:rPr>
      </w:pPr>
      <w:r>
        <w:rPr>
          <w:rFonts w:hint="eastAsia"/>
          <w:b/>
          <w:bCs/>
        </w:rPr>
        <w:t>6.1</w:t>
      </w:r>
      <w:r>
        <w:rPr>
          <w:b/>
          <w:bCs/>
        </w:rPr>
        <w:t>报告期内托管人遵规守信情况声明</w:t>
      </w:r>
    </w:p>
    <w:p>
      <w:pPr>
        <w:pStyle w:val="14"/>
        <w:ind w:firstLine="480"/>
        <w:rPr>
          <w:rFonts w:hint="eastAsia"/>
        </w:rPr>
      </w:pPr>
      <w:r>
        <w:t>在托管本产品的过程中，本产品托管人南京银行股份有限公司严格遵守《商业银行理财业务监督管理办法》</w:t>
      </w:r>
      <w:r>
        <w:rPr>
          <w:rFonts w:hint="eastAsia"/>
        </w:rPr>
        <w:t>等</w:t>
      </w:r>
      <w:r>
        <w:t>相关法律法规</w:t>
      </w:r>
      <w:r>
        <w:rPr>
          <w:rFonts w:hint="eastAsia"/>
        </w:rPr>
        <w:t>、理财</w:t>
      </w:r>
      <w:r>
        <w:t>产品说明书</w:t>
      </w:r>
      <w:r>
        <w:rPr>
          <w:rFonts w:hint="eastAsia"/>
        </w:rPr>
        <w:t>、理财产品托管协议</w:t>
      </w:r>
      <w:r>
        <w:t>的约定，认真履行了托管人的义务，没有从事任何损害产品份额持有人利益的行为。</w:t>
      </w:r>
    </w:p>
    <w:p>
      <w:pPr>
        <w:pStyle w:val="11"/>
        <w:rPr>
          <w:rFonts w:hint="eastAsia"/>
          <w:b/>
          <w:bCs/>
        </w:rPr>
      </w:pPr>
      <w:r>
        <w:rPr>
          <w:rFonts w:hint="eastAsia"/>
          <w:b/>
          <w:bCs/>
        </w:rPr>
        <w:t>6.2</w:t>
      </w:r>
      <w:r>
        <w:rPr>
          <w:b/>
          <w:bCs/>
        </w:rPr>
        <w:t>托管人对报告期内投资运作遵规守信、净值计算、利润分配等情况的说明</w:t>
      </w:r>
    </w:p>
    <w:p>
      <w:pPr>
        <w:pStyle w:val="14"/>
        <w:ind w:firstLine="480"/>
        <w:rPr>
          <w:rFonts w:hint="eastAsia"/>
        </w:rPr>
      </w:pPr>
      <w:r>
        <w:rPr>
          <w:rFonts w:hint="eastAsia"/>
        </w:rPr>
        <w:t>本报告期内，本托管人对本产品的投资运作进行了必要的监督，对产品资产净值计算、产品费用开支、利润分配等方面进行了认真地复核，经复核，本理财产品报告中披露的理财产品财务数据核对一致，未发现本产品管理人存在损害产品份额持有人利益的行为。</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jc w:val="left"/>
        <w:rPr>
          <w:rFonts w:ascii="Times New Roman" w:hAnsi="Times New Roman"/>
          <w:b/>
          <w:bCs/>
          <w:kern w:val="0"/>
          <w:sz w:val="24"/>
          <w:szCs w:val="24"/>
        </w:rPr>
      </w:pPr>
      <w:r>
        <w:rPr>
          <w:rFonts w:hint="eastAsia" w:ascii="宋体" w:hAnsi="宋体"/>
          <w:b/>
          <w:bCs/>
          <w:kern w:val="0"/>
          <w:sz w:val="24"/>
          <w:szCs w:val="24"/>
        </w:rPr>
        <w:t>6.3</w:t>
      </w:r>
      <w:r>
        <w:rPr>
          <w:rFonts w:hint="eastAsia" w:ascii="Times New Roman" w:hAnsi="Times New Roman"/>
          <w:b/>
          <w:bCs/>
          <w:kern w:val="0"/>
          <w:sz w:val="24"/>
          <w:szCs w:val="24"/>
        </w:rPr>
        <w:t>投资组合流动性风险分析</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480" w:firstLineChars="200"/>
        <w:rPr>
          <w:rFonts w:ascii="Times New Roman"/>
          <w:color w:val="000000"/>
          <w:kern w:val="0"/>
          <w:sz w:val="24"/>
          <w:szCs w:val="24"/>
        </w:rPr>
      </w:pPr>
      <w:r>
        <w:rPr>
          <w:rFonts w:hint="eastAsia" w:ascii="Times New Roman"/>
          <w:color w:val="000000"/>
          <w:kern w:val="0"/>
          <w:sz w:val="24"/>
          <w:szCs w:val="24"/>
        </w:rPr>
        <w:t>本产品主要投资范围为标准化资产，并保有一定流动性储备，整体流动性风险可控。</w:t>
      </w:r>
    </w:p>
    <w:p>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480" w:firstLineChars="200"/>
        <w:rPr>
          <w:rFonts w:hint="eastAsia" w:ascii="Times New Roman"/>
          <w:color w:val="000000"/>
          <w:kern w:val="0"/>
          <w:sz w:val="24"/>
          <w:szCs w:val="24"/>
        </w:rPr>
      </w:pPr>
      <w:r>
        <w:rPr>
          <w:rFonts w:hint="eastAsia" w:ascii="Times New Roman"/>
          <w:color w:val="000000"/>
          <w:kern w:val="0"/>
          <w:sz w:val="24"/>
          <w:szCs w:val="24"/>
        </w:rPr>
        <w:t>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pStyle w:val="14"/>
        <w:ind w:firstLine="480"/>
        <w:rPr>
          <w:rFonts w:hint="eastAsia"/>
        </w:rPr>
      </w:pPr>
      <w:bookmarkStart w:id="0" w:name="_GoBack"/>
      <w:bookmarkEnd w:id="0"/>
    </w:p>
    <w:p>
      <w:pPr>
        <w:widowControl/>
        <w:jc w:val="center"/>
        <w:rPr>
          <w:rFonts w:hint="eastAsia" w:ascii="宋体" w:cs="宋体"/>
          <w:kern w:val="0"/>
          <w:sz w:val="24"/>
        </w:rPr>
      </w:pPr>
      <w:r>
        <w:rPr>
          <w:rFonts w:hint="eastAsia" w:ascii="宋体" w:hAnsi="宋体" w:cs="宋体"/>
          <w:b/>
          <w:kern w:val="0"/>
          <w:sz w:val="24"/>
          <w:szCs w:val="24"/>
        </w:rPr>
        <w:t>§7 影响投资者决策的其他重要信息</w:t>
      </w:r>
    </w:p>
    <w:p>
      <w:pPr>
        <w:widowControl/>
        <w:jc w:val="left"/>
        <w:rPr>
          <w:rFonts w:hint="eastAsia" w:ascii="宋体" w:hAnsi="宋体" w:cs="宋体"/>
          <w:b/>
          <w:kern w:val="0"/>
          <w:sz w:val="24"/>
          <w:szCs w:val="24"/>
        </w:rPr>
      </w:pPr>
    </w:p>
    <w:p>
      <w:pPr>
        <w:widowControl/>
        <w:jc w:val="left"/>
        <w:rPr>
          <w:rFonts w:hint="eastAsia" w:ascii="宋体" w:cs="宋体"/>
          <w:b/>
          <w:kern w:val="0"/>
          <w:sz w:val="24"/>
        </w:rPr>
      </w:pPr>
      <w:r>
        <w:rPr>
          <w:rFonts w:hint="eastAsia" w:ascii="宋体" w:hAnsi="宋体" w:cs="宋体"/>
          <w:b/>
          <w:kern w:val="0"/>
          <w:sz w:val="24"/>
          <w:szCs w:val="24"/>
        </w:rPr>
        <w:t>7.1 影响投资者决策的其他重要信息</w:t>
      </w:r>
    </w:p>
    <w:p>
      <w:pPr>
        <w:widowControl/>
        <w:jc w:val="left"/>
        <w:rPr>
          <w:rFonts w:hint="eastAsia" w:ascii="宋体" w:cs="宋体"/>
          <w:kern w:val="0"/>
          <w:sz w:val="24"/>
        </w:rPr>
      </w:pPr>
      <w:r>
        <w:rPr>
          <w:rFonts w:hint="eastAsia" w:ascii="宋体" w:hAnsi="宋体" w:cs="宋体"/>
          <w:kern w:val="0"/>
          <w:sz w:val="24"/>
          <w:szCs w:val="24"/>
        </w:rPr>
        <w:t>无。</w:t>
      </w:r>
    </w:p>
    <w:p>
      <w:pPr>
        <w:widowControl/>
        <w:jc w:val="left"/>
        <w:rPr>
          <w:rFonts w:hint="eastAsia" w:ascii="宋体" w:cs="宋体"/>
          <w:kern w:val="0"/>
          <w:sz w:val="24"/>
        </w:rPr>
      </w:pPr>
    </w:p>
    <w:p>
      <w:pPr>
        <w:widowControl/>
        <w:jc w:val="left"/>
        <w:rPr>
          <w:rFonts w:hint="eastAsia" w:ascii="宋体" w:cs="宋体"/>
          <w:b/>
          <w:kern w:val="0"/>
          <w:sz w:val="24"/>
        </w:rPr>
      </w:pPr>
      <w:r>
        <w:rPr>
          <w:rFonts w:hint="eastAsia" w:ascii="宋体" w:hAnsi="宋体" w:cs="宋体"/>
          <w:b/>
          <w:kern w:val="0"/>
          <w:sz w:val="24"/>
          <w:szCs w:val="24"/>
        </w:rPr>
        <w:t>7.2其他事项。</w:t>
      </w:r>
    </w:p>
    <w:p>
      <w:pPr>
        <w:pStyle w:val="14"/>
        <w:rPr>
          <w:rFonts w:hint="eastAsia"/>
        </w:rPr>
      </w:pPr>
      <w:r>
        <w:rPr>
          <w:rFonts w:hint="eastAsia"/>
        </w:rPr>
        <w:t>无。</w:t>
      </w:r>
    </w:p>
    <w:p>
      <w:pPr>
        <w:widowControl/>
        <w:jc w:val="left"/>
        <w:rPr>
          <w:rFonts w:hint="eastAsia" w:ascii="宋体" w:hAnsi="宋体" w:cs="宋体"/>
          <w:kern w:val="0"/>
          <w:sz w:val="24"/>
          <w:szCs w:val="24"/>
        </w:rPr>
      </w:pPr>
      <w:r>
        <w:rPr>
          <w:rFonts w:hint="eastAsia" w:ascii="宋体" w:hAnsi="宋体" w:cs="宋体"/>
          <w:kern w:val="0"/>
          <w:sz w:val="24"/>
          <w:szCs w:val="24"/>
        </w:rPr>
        <w:br w:type="textWrapping"/>
      </w:r>
    </w:p>
    <w:p>
      <w:pPr>
        <w:widowControl/>
        <w:jc w:val="left"/>
        <w:rPr>
          <w:rFonts w:hint="eastAsia" w:ascii="宋体" w:hAnsi="宋体" w:cs="宋体"/>
          <w:kern w:val="0"/>
          <w:sz w:val="24"/>
          <w:szCs w:val="24"/>
        </w:rPr>
      </w:pPr>
    </w:p>
    <w:p>
      <w:pPr>
        <w:widowControl/>
        <w:jc w:val="left"/>
        <w:rPr>
          <w:rFonts w:hint="eastAsia" w:ascii="宋体" w:hAnsi="宋体" w:cs="宋体"/>
          <w:kern w:val="0"/>
          <w:sz w:val="24"/>
          <w:szCs w:val="24"/>
        </w:rPr>
      </w:pPr>
    </w:p>
    <w:p>
      <w:pPr>
        <w:pStyle w:val="16"/>
        <w:rPr>
          <w:rFonts w:hint="eastAsia"/>
        </w:rPr>
      </w:pPr>
      <w:r>
        <w:rPr>
          <w:rFonts w:hint="eastAsia" w:hAnsi="Calibri"/>
          <w:b/>
          <w:bCs/>
          <w:color w:val="000000"/>
        </w:rPr>
        <w:t>四川银行股份有限公司</w:t>
      </w:r>
    </w:p>
    <w:p>
      <w:pPr>
        <w:pStyle w:val="16"/>
        <w:rPr>
          <w:rFonts w:hint="eastAsia"/>
        </w:rPr>
      </w:pPr>
      <w:r>
        <w:rPr>
          <w:rFonts w:hint="eastAsia" w:hAnsi="Calibri"/>
          <w:b/>
          <w:bCs/>
          <w:color w:val="000000"/>
        </w:rPr>
        <w:t>2023年10月08日</w:t>
      </w:r>
    </w:p>
    <w:sectPr>
      <w:footerReference r:id="rId5" w:type="first"/>
      <w:headerReference r:id="rId3" w:type="default"/>
      <w:footerReference r:id="rId4" w:type="default"/>
      <w:pgSz w:w="11906" w:h="16838"/>
      <w:pgMar w:top="1440" w:right="1800" w:bottom="1440" w:left="1800" w:header="851" w:footer="992" w:gutter="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fldChar w:fldCharType="begin"/>
    </w:r>
    <w:r>
      <w:instrText xml:space="preserve"> PAGE  </w:instrText>
    </w:r>
    <w:r>
      <w:fldChar w:fldCharType="separate"/>
    </w:r>
    <w:r>
      <w:t>6</w:t>
    </w:r>
    <w:r>
      <w:fldChar w:fldCharType="end"/>
    </w:r>
    <w:r>
      <w:rPr>
        <w:rFonts w:hint="eastAsia"/>
      </w:rPr>
      <w:t>页，共</w:t>
    </w:r>
    <w:r>
      <w:fldChar w:fldCharType="begin"/>
    </w:r>
    <w:r>
      <w:instrText xml:space="preserve"> NUMPAGES  </w:instrText>
    </w:r>
    <w:r>
      <w:fldChar w:fldCharType="separate"/>
    </w:r>
    <w:r>
      <w:t>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jc w:val="right"/>
    </w:pPr>
    <w:r>
      <w:rPr>
        <w:rFonts w:hint="eastAsia"/>
      </w:rPr>
      <w:t>净值型系列封闭式第120期人民币理财产品（先到利B款半年分红）2023年第3季度报告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05"/>
  <w:displayHorizontalDrawingGridEvery w:val="2"/>
  <w:noPunctuationKerning w:val="1"/>
  <w:characterSpacingControl w:val="compressPunctuation"/>
  <w:compat>
    <w:useFELayout/>
    <w:compatSetting w:name="compatibilityMode" w:uri="http://schemas.microsoft.com/office/word" w:val="12"/>
  </w:compat>
  <w:rsids>
    <w:rsidRoot w:val="00BD7218"/>
    <w:rsid w:val="000554EC"/>
    <w:rsid w:val="00367A13"/>
    <w:rsid w:val="00933F4F"/>
    <w:rsid w:val="009E7D06"/>
    <w:rsid w:val="00A96BA6"/>
    <w:rsid w:val="00BD7218"/>
    <w:rsid w:val="00DA32FE"/>
    <w:rsid w:val="00F9233F"/>
    <w:rsid w:val="347F4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msonormalfy"/>
    <w:qFormat/>
    <w:uiPriority w:val="0"/>
    <w:pPr>
      <w:widowControl w:val="0"/>
      <w:jc w:val="center"/>
    </w:pPr>
    <w:rPr>
      <w:rFonts w:ascii="Calibri" w:hAnsi="Calibri" w:eastAsia="宋体" w:cs="Times New Roman"/>
      <w:kern w:val="2"/>
      <w:sz w:val="33"/>
      <w:szCs w:val="22"/>
      <w:lang w:val="en-US" w:eastAsia="zh-CN" w:bidi="ar-SA"/>
    </w:rPr>
  </w:style>
  <w:style w:type="paragraph" w:customStyle="1" w:styleId="7">
    <w:name w:val="msonormal_none"/>
    <w:qFormat/>
    <w:uiPriority w:val="0"/>
    <w:pPr>
      <w:widowControl w:val="0"/>
    </w:pPr>
    <w:rPr>
      <w:rFonts w:ascii="Calibri" w:hAnsi="Calibri" w:eastAsia="宋体" w:cs="Times New Roman"/>
      <w:kern w:val="2"/>
      <w:sz w:val="21"/>
      <w:szCs w:val="22"/>
      <w:lang w:val="en-US" w:eastAsia="zh-CN" w:bidi="ar-SA"/>
    </w:rPr>
  </w:style>
  <w:style w:type="character" w:customStyle="1" w:styleId="8">
    <w:name w:val="页眉 Char"/>
    <w:basedOn w:val="5"/>
    <w:link w:val="3"/>
    <w:semiHidden/>
    <w:qFormat/>
    <w:locked/>
    <w:uiPriority w:val="99"/>
    <w:rPr>
      <w:rFonts w:hint="default" w:ascii="Times New Roman" w:hAnsi="Times New Roman" w:cs="Times New Roman"/>
      <w:sz w:val="18"/>
      <w:szCs w:val="18"/>
    </w:rPr>
  </w:style>
  <w:style w:type="character" w:customStyle="1" w:styleId="9">
    <w:name w:val="页脚 Char"/>
    <w:basedOn w:val="5"/>
    <w:link w:val="2"/>
    <w:semiHidden/>
    <w:qFormat/>
    <w:locked/>
    <w:uiPriority w:val="99"/>
    <w:rPr>
      <w:rFonts w:hint="default" w:ascii="Times New Roman" w:hAnsi="Times New Roman" w:cs="Times New Roman"/>
      <w:sz w:val="18"/>
      <w:szCs w:val="18"/>
    </w:rPr>
  </w:style>
  <w:style w:type="paragraph" w:customStyle="1" w:styleId="10">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1">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zhongyaotishi"/>
    <w:basedOn w:val="1"/>
    <w:qFormat/>
    <w:uiPriority w:val="0"/>
    <w:pPr>
      <w:widowControl/>
      <w:autoSpaceDE w:val="0"/>
      <w:autoSpaceDN w:val="0"/>
      <w:adjustRightInd w:val="0"/>
      <w:spacing w:before="30" w:line="288" w:lineRule="auto"/>
      <w:ind w:left="15" w:firstLine="482"/>
      <w:jc w:val="left"/>
    </w:pPr>
    <w:rPr>
      <w:rFonts w:ascii="宋体" w:hAnsi="宋体" w:cs="宋体"/>
      <w:kern w:val="0"/>
      <w:sz w:val="24"/>
      <w:szCs w:val="24"/>
    </w:rPr>
  </w:style>
  <w:style w:type="paragraph" w:customStyle="1" w:styleId="14">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5">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hide"/>
    <w:basedOn w:val="1"/>
    <w:qFormat/>
    <w:uiPriority w:val="0"/>
    <w:pPr>
      <w:widowControl/>
      <w:spacing w:before="100" w:beforeAutospacing="1" w:after="100" w:afterAutospacing="1"/>
      <w:jc w:val="left"/>
    </w:pPr>
    <w:rPr>
      <w:rFonts w:ascii="宋体" w:hAnsi="宋体" w:cs="宋体"/>
      <w:vanish/>
      <w:kern w:val="0"/>
      <w:sz w:val="24"/>
      <w:szCs w:val="24"/>
    </w:rPr>
  </w:style>
  <w:style w:type="paragraph" w:customStyle="1" w:styleId="19">
    <w:name w:val="show"/>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0">
    <w:name w:val="biaoge_right1"/>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character" w:customStyle="1" w:styleId="21">
    <w:name w:val="show1"/>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333</Words>
  <Characters>1904</Characters>
  <Lines>15</Lines>
  <Paragraphs>4</Paragraphs>
  <TotalTime>0</TotalTime>
  <ScaleCrop>false</ScaleCrop>
  <LinksUpToDate>false</LinksUpToDate>
  <CharactersWithSpaces>2233</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2023-10-18T07:47:00Z</dcterms:created>
  <dc:creator>曹菁</dc:creator>
  <cp:lastModifiedBy>daiyuran</cp:lastModifiedBy>
  <dcterms:modified xsi:type="dcterms:W3CDTF">2023-10-20T09:04:30Z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92276FBDFB504ECE9EDECB13503CEEA8</vt:lpwstr>
  </property>
</Properties>
</file>