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四川银行定开系列3个月12号净值型理财产品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四川银行定开系列3个月12号净值型理财产品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2022-06-23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193,503,000.00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[3.2%-4.2%]/年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4.79</w:t>
            </w:r>
            <w:bookmarkStart w:id="1" w:name="OLE_LINK7"/>
            <w:bookmarkEnd w:id="1"/>
            <w:bookmarkStart w:id="2" w:name="OLE_LINK4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4,589,794.88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5,257,917.64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193,694,152.94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1.0479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175,829,641.26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175,829,641.26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89.66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19,008,699.04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9.69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315,831.36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0.16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953,662.87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196,107,834.53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19,008,699.04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9.81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23渤海银行CD351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14,975,389.24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13,147,830.60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22温国01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12,332,630.14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21天投Y2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11,395,517.81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11,063,754.79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10,403,630.14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23雅安发展MTN001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10,073,114.75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23厦门银行CD063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9,884,836.94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23广西北部湾银行CD309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9,881,469.78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5.10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Theme="minorEastAsia" w:hAnsiTheme="minorEastAsia" w:eastAsiaTheme="minorEastAsia"/>
          <w:szCs w:val="21"/>
          <w:lang w:eastAsia="zh-CN"/>
        </w:rPr>
        <w:t>21攀国投、</w:t>
      </w:r>
      <w:r>
        <w:rPr>
          <w:rFonts w:hint="eastAsia" w:asciiTheme="minorEastAsia" w:hAnsiTheme="minorEastAsia" w:eastAsiaTheme="minorEastAsia"/>
          <w:szCs w:val="21"/>
        </w:rPr>
        <w:t>21天投Y2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、21眉府01、22凉山发展MTN001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6e75a8f8-6601-451f-92cd-b9b7e449f02a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1FB16BC"/>
    <w:rsid w:val="2254678E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uiPriority w:val="0"/>
    <w:rPr>
      <w:sz w:val="18"/>
      <w:szCs w:val="18"/>
    </w:rPr>
  </w:style>
  <w:style w:type="paragraph" w:styleId="10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qFormat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uiPriority w:val="0"/>
    <w:rPr>
      <w:vertAlign w:val="superscript"/>
    </w:rPr>
  </w:style>
  <w:style w:type="character" w:customStyle="1" w:styleId="23">
    <w:name w:val="标题 3 Char"/>
    <w:link w:val="4"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1258</Words>
  <Characters>1856</Characters>
  <Lines>15</Lines>
  <Paragraphs>4</Paragraphs>
  <TotalTime>1</TotalTime>
  <ScaleCrop>false</ScaleCrop>
  <LinksUpToDate>false</LinksUpToDate>
  <CharactersWithSpaces>1911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2024-04-09T08:27:16Z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012B312EDF6E45B9AF4612AD9D56A4A7</vt:lpwstr>
  </property>
</Properties>
</file>