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48"/>
        </w:rPr>
      </w:pPr>
    </w:p>
    <w:p>
      <w:pPr>
        <w:rPr>
          <w:sz w:val="48"/>
        </w:rPr>
      </w:pP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 xml:space="preserve">四川银行定开系列1个月1号净值型理财产品 </w:t>
      </w:r>
    </w:p>
    <w:p>
      <w:pPr>
        <w:jc w:val="center"/>
        <w:rPr>
          <w:rFonts w:ascii="宋体" w:hAnsi="宋体"/>
          <w:b/>
          <w:bCs/>
          <w:sz w:val="48"/>
          <w:szCs w:val="30"/>
        </w:rPr>
      </w:pPr>
      <w:r>
        <w:rPr>
          <w:rFonts w:ascii="宋体" w:hAnsi="宋体"/>
          <w:b/>
          <w:bCs/>
          <w:sz w:val="48"/>
          <w:szCs w:val="30"/>
        </w:rPr>
        <w:t>2023年年度</w:t>
      </w:r>
      <w:r>
        <w:rPr>
          <w:rFonts w:hint="eastAsia" w:ascii="宋体" w:hAnsi="宋体"/>
          <w:b/>
          <w:bCs/>
          <w:sz w:val="48"/>
          <w:szCs w:val="30"/>
        </w:rPr>
        <w:t>报告</w:t>
      </w: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sz w:val="28"/>
          <w:szCs w:val="30"/>
        </w:rPr>
      </w:pP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产品管理人：四川银行股份有限公司</w:t>
      </w:r>
    </w:p>
    <w:p>
      <w:pPr>
        <w:ind w:firstLine="1687" w:firstLineChars="600"/>
        <w:jc w:val="left"/>
        <w:rPr>
          <w:rFonts w:ascii="宋体" w:hAnsi="宋体"/>
          <w:b/>
          <w:bCs/>
          <w:sz w:val="28"/>
          <w:szCs w:val="30"/>
        </w:rPr>
      </w:pPr>
      <w:r>
        <w:rPr>
          <w:rFonts w:ascii="宋体" w:hAnsi="宋体"/>
          <w:b/>
          <w:bCs/>
          <w:sz w:val="28"/>
          <w:szCs w:val="30"/>
        </w:rPr>
        <w:t>产品托管人：招商银行股份有限公司成都分行</w:t>
      </w: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ind w:firstLine="1680" w:firstLineChars="600"/>
        <w:jc w:val="left"/>
        <w:rPr>
          <w:rFonts w:ascii="宋体" w:hAnsi="宋体"/>
          <w:sz w:val="28"/>
          <w:szCs w:val="30"/>
        </w:rPr>
      </w:pPr>
    </w:p>
    <w:p>
      <w:pPr>
        <w:rPr>
          <w:rFonts w:ascii="宋体" w:hAnsi="宋体"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</w:p>
    <w:p>
      <w:pPr>
        <w:jc w:val="center"/>
        <w:rPr>
          <w:rFonts w:ascii="宋体" w:hAnsi="宋体"/>
          <w:b/>
          <w:bCs/>
          <w:sz w:val="28"/>
          <w:szCs w:val="30"/>
        </w:rPr>
      </w:pPr>
      <w:r>
        <w:rPr>
          <w:rFonts w:hint="eastAsia" w:ascii="宋体" w:hAnsi="宋体"/>
          <w:b/>
          <w:bCs/>
          <w:sz w:val="28"/>
          <w:szCs w:val="30"/>
        </w:rPr>
        <w:t>重要提示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产品托管人</w:t>
      </w:r>
      <w:r>
        <w:rPr>
          <w:rFonts w:ascii="宋体" w:hAnsi="宋体"/>
          <w:szCs w:val="21"/>
        </w:rPr>
        <w:t>招商银行股份有限公司成都分行</w:t>
      </w:r>
      <w:r>
        <w:rPr>
          <w:rFonts w:hint="eastAsia" w:ascii="宋体" w:hAnsi="宋体"/>
          <w:szCs w:val="21"/>
        </w:rPr>
        <w:t>根据《商业银行理财业务监督管理办法》规定，复核了本报告中的产品收益表现、主要财务指标、投资组合情况等内容，保证复核内容不存在虚假记载、误导性陈述或者重大遗漏。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产品管理人承诺以诚实信用、勤勉尽责的原则管理和运用理财资产，但不保证一定盈利。产品的过往业绩并不代表其未来表现。投资有风险，投资者在作出投资决策前应仔细阅读本产品的发行文件。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本报告中财务资料未经审计。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</w:t>
      </w:r>
      <w:r>
        <w:rPr>
          <w:rFonts w:ascii="宋体" w:hAnsi="宋体"/>
          <w:szCs w:val="21"/>
        </w:rPr>
        <w:t>报告期</w:t>
      </w:r>
      <w:r>
        <w:rPr>
          <w:rFonts w:hint="eastAsia" w:ascii="宋体" w:hAnsi="宋体"/>
          <w:szCs w:val="21"/>
        </w:rPr>
        <w:t>自2023-01-01起至2023-12-31</w:t>
      </w:r>
      <w:r>
        <w:rPr>
          <w:rFonts w:ascii="宋体" w:hAnsi="宋体"/>
          <w:szCs w:val="21"/>
        </w:rPr>
        <w:t>止。</w:t>
      </w:r>
    </w:p>
    <w:p>
      <w:pPr>
        <w:pStyle w:val="40"/>
      </w:pPr>
      <w:r>
        <w:rPr>
          <w:rFonts w:hint="eastAsia"/>
        </w:rPr>
        <w:t xml:space="preserve">产品基本情况 </w:t>
      </w:r>
    </w:p>
    <w:tbl>
      <w:tblPr>
        <w:tblStyle w:val="17"/>
        <w:tblW w:w="0" w:type="auto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产品名称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四川银行定开系列1个月1号净值型理财产品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产品登记编码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C1438122000070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ind w:right="-107" w:rightChars="-51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产品管理人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四川银行股份有限公司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产品托管人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招商银行股份有限公司成都分行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产品运作方式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公募定期开放式净值型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产品成立日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2022-09-15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产品到期日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9999-12-31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报告期末产品份额总额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bookmarkStart w:id="0" w:name="OLE_LINK1"/>
            <w:r>
              <w:rPr>
                <w:rFonts w:hint="eastAsia" w:ascii="宋体" w:hAnsi="宋体"/>
              </w:rPr>
              <w:t>114,027,050.00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业绩比较基准（如有）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[2.7%-3.6%]/年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估值方法</w:t>
            </w:r>
          </w:p>
        </w:tc>
        <w:tc>
          <w:tcPr>
            <w:tcW w:w="5027" w:type="dxa"/>
            <w:vAlign w:val="center"/>
          </w:tcPr>
          <w:p>
            <w:pPr>
              <w:jc w:val="left"/>
              <w:rPr>
                <w:rFonts w:ascii="宋体" w:hAnsi="宋体"/>
              </w:rPr>
            </w:pPr>
            <w:r>
              <w:rPr>
                <w:rFonts w:ascii="宋体" w:hAnsi="宋体"/>
              </w:rPr>
              <w:t>市值法</w:t>
            </w:r>
          </w:p>
        </w:tc>
      </w:tr>
    </w:tbl>
    <w:p>
      <w:pPr>
        <w:pStyle w:val="40"/>
      </w:pPr>
      <w:r>
        <w:rPr>
          <w:rFonts w:hint="eastAsia"/>
        </w:rPr>
        <w:t>产品收益表现</w:t>
      </w:r>
    </w:p>
    <w:tbl>
      <w:tblPr>
        <w:tblStyle w:val="17"/>
        <w:tblW w:w="8956" w:type="dxa"/>
        <w:tblInd w:w="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3"/>
        <w:gridCol w:w="5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38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阶段</w:t>
            </w:r>
          </w:p>
        </w:tc>
        <w:tc>
          <w:tcPr>
            <w:tcW w:w="510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</w:rPr>
            </w:pPr>
            <w:r>
              <w:rPr>
                <w:rFonts w:hint="eastAsia"/>
                <w:b/>
              </w:rPr>
              <w:t>净值增长率（%）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当期（</w:t>
            </w:r>
            <w:r>
              <w:rPr>
                <w:rFonts w:ascii="宋体" w:hAnsi="宋体"/>
              </w:rPr>
              <w:t>2023-01-01</w:t>
            </w:r>
            <w:r>
              <w:rPr>
                <w:rFonts w:hint="eastAsia" w:ascii="宋体" w:hAnsi="宋体"/>
              </w:rPr>
              <w:t>至</w:t>
            </w:r>
            <w:r>
              <w:rPr>
                <w:rFonts w:ascii="宋体" w:hAnsi="宋体"/>
              </w:rPr>
              <w:t>2023-12-31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385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自产品成立日至今</w:t>
            </w:r>
          </w:p>
        </w:tc>
        <w:tc>
          <w:tcPr>
            <w:tcW w:w="510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3.81</w:t>
            </w:r>
            <w:bookmarkStart w:id="1" w:name="OLE_LINK4"/>
            <w:bookmarkEnd w:id="1"/>
            <w:bookmarkStart w:id="2" w:name="OLE_LINK7"/>
            <w:bookmarkEnd w:id="2"/>
          </w:p>
        </w:tc>
      </w:tr>
    </w:tbl>
    <w:p>
      <w:pPr>
        <w:spacing w:line="360" w:lineRule="auto"/>
        <w:ind w:left="420" w:left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主要财务指标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8865" w:type="dxa"/>
        <w:tblInd w:w="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38"/>
        <w:gridCol w:w="50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3838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5027" w:type="dxa"/>
            <w:shd w:val="clear" w:color="auto" w:fill="D9D9D9"/>
            <w:vAlign w:val="center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2023-01-01</w:t>
            </w:r>
            <w:r>
              <w:rPr>
                <w:rFonts w:hint="eastAsia"/>
                <w:b/>
              </w:rPr>
              <w:t xml:space="preserve">至 </w:t>
            </w:r>
            <w:r>
              <w:rPr>
                <w:b/>
              </w:rPr>
              <w:t>2023-12-31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本期已实现收益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2,351,014.55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本期利润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2,686,108.71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  <w:szCs w:val="21"/>
              </w:rPr>
              <w:t>期末产品资产净值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114,141,886.89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ascii="宋体" w:hAnsi="宋体"/>
              </w:rPr>
            </w:pPr>
            <w:bookmarkStart w:id="3" w:name="_Hlk29928922"/>
            <w:r>
              <w:rPr>
                <w:rFonts w:hint="eastAsia" w:ascii="宋体" w:hAnsi="宋体"/>
                <w:szCs w:val="21"/>
              </w:rPr>
              <w:t>期末产品份额净值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838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累计单位净值</w:t>
            </w:r>
          </w:p>
        </w:tc>
        <w:tc>
          <w:tcPr>
            <w:tcW w:w="5027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1.0381</w:t>
            </w:r>
          </w:p>
        </w:tc>
      </w:tr>
      <w:bookmarkEnd w:id="3"/>
    </w:tbl>
    <w:p>
      <w:pPr>
        <w:tabs>
          <w:tab w:val="left" w:pos="3135"/>
        </w:tabs>
        <w:ind w:left="420" w:left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pStyle w:val="40"/>
      </w:pPr>
      <w:r>
        <w:rPr>
          <w:rFonts w:hint="eastAsia"/>
        </w:rPr>
        <w:t>投资组合情况及</w:t>
      </w:r>
      <w:r>
        <w:t>流动性风险分析</w:t>
      </w: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9"/>
        <w:keepNext/>
        <w:keepLines/>
        <w:numPr>
          <w:ilvl w:val="0"/>
          <w:numId w:val="2"/>
        </w:numPr>
        <w:spacing w:before="156" w:beforeLines="50" w:after="156" w:afterLines="50"/>
        <w:ind w:firstLineChars="0"/>
        <w:jc w:val="left"/>
        <w:outlineLvl w:val="1"/>
        <w:rPr>
          <w:rFonts w:ascii="Cambria" w:hAnsi="Cambria"/>
          <w:bCs/>
          <w:vanish/>
          <w:kern w:val="28"/>
          <w:sz w:val="24"/>
          <w:szCs w:val="32"/>
          <w:lang w:val="zh-CN"/>
        </w:rPr>
      </w:pPr>
    </w:p>
    <w:p>
      <w:pPr>
        <w:pStyle w:val="41"/>
        <w:spacing w:before="156" w:after="156"/>
      </w:pPr>
      <w:r>
        <w:rPr>
          <w:rFonts w:hint="eastAsia"/>
          <w:b w:val="0"/>
        </w:rPr>
        <w:t>期末资产组合情况</w:t>
      </w:r>
    </w:p>
    <w:p>
      <w:pPr>
        <w:rPr>
          <w:lang w:val="zh-CN"/>
        </w:rPr>
      </w:pPr>
    </w:p>
    <w:p>
      <w:pPr>
        <w:jc w:val="right"/>
      </w:pPr>
    </w:p>
    <w:p>
      <w:pPr>
        <w:jc w:val="right"/>
      </w:pPr>
    </w:p>
    <w:p>
      <w:pPr>
        <w:jc w:val="right"/>
      </w:pPr>
      <w:r>
        <w:rPr>
          <w:rFonts w:hint="eastAsia"/>
        </w:rPr>
        <w:t>金额单位：元</w:t>
      </w:r>
    </w:p>
    <w:tbl>
      <w:tblPr>
        <w:tblStyle w:val="17"/>
        <w:tblW w:w="88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47"/>
        <w:gridCol w:w="1697"/>
        <w:gridCol w:w="1749"/>
        <w:gridCol w:w="1653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7" w:type="dxa"/>
            <w:vMerge w:val="restart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</w:t>
            </w:r>
          </w:p>
        </w:tc>
        <w:tc>
          <w:tcPr>
            <w:tcW w:w="3446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  <w:tc>
          <w:tcPr>
            <w:tcW w:w="3358" w:type="dxa"/>
            <w:gridSpan w:val="2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间接</w:t>
            </w:r>
            <w:r>
              <w:rPr>
                <w:rFonts w:ascii="宋体" w:hAnsi="宋体"/>
                <w:b/>
                <w:szCs w:val="21"/>
              </w:rPr>
              <w:t>投资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611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47" w:type="dxa"/>
            <w:vMerge w:val="continue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9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49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  <w:tc>
          <w:tcPr>
            <w:tcW w:w="1653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1705" w:type="dxa"/>
            <w:shd w:val="clear" w:color="auto" w:fill="D9D9D9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占产品总资产的比例（%）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权益投资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其中：普通股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存托凭证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基金投资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固定收益投资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91,806,157.26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其中：债券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91,806,157.26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79.19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资产支持证券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金融衍生品投资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其中：远期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期权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 xml:space="preserve">      权证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15,006,867.64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12.94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其中：买断式回购的买入返售金融资产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货币市场工具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银行存款和结算备付金合计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8,568,707.61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7.39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拆放同业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资管</w:t>
            </w:r>
            <w:r>
              <w:rPr>
                <w:rFonts w:ascii="宋体" w:hAnsi="宋体" w:cs="宋体"/>
                <w:kern w:val="0"/>
                <w:sz w:val="22"/>
                <w:szCs w:val="22"/>
              </w:rPr>
              <w:t>产品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14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其他资产</w:t>
            </w:r>
          </w:p>
        </w:tc>
        <w:tc>
          <w:tcPr>
            <w:tcW w:w="1697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554,549.29</w:t>
            </w:r>
          </w:p>
        </w:tc>
        <w:tc>
          <w:tcPr>
            <w:tcW w:w="1749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0.48</w:t>
            </w:r>
          </w:p>
        </w:tc>
        <w:tc>
          <w:tcPr>
            <w:tcW w:w="1653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1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447" w:type="dxa"/>
            <w:shd w:val="clear" w:color="auto" w:fill="auto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  <w:tc>
          <w:tcPr>
            <w:tcW w:w="1697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115,936,281.80</w:t>
            </w:r>
          </w:p>
        </w:tc>
        <w:tc>
          <w:tcPr>
            <w:tcW w:w="1749" w:type="dxa"/>
            <w:shd w:val="clear" w:color="auto" w:fill="auto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100.00</w:t>
            </w:r>
          </w:p>
        </w:tc>
        <w:tc>
          <w:tcPr>
            <w:tcW w:w="1653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  <w:tc>
          <w:tcPr>
            <w:tcW w:w="1705" w:type="dxa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0.00</w:t>
            </w:r>
          </w:p>
        </w:tc>
      </w:tr>
    </w:tbl>
    <w:p>
      <w:pPr>
        <w:ind w:left="420" w:leftChars="200"/>
        <w:jc w:val="left"/>
        <w:rPr>
          <w:rFonts w:ascii="宋体" w:hAnsi="宋体"/>
          <w:sz w:val="24"/>
        </w:rPr>
      </w:pPr>
    </w:p>
    <w:p>
      <w:pPr>
        <w:ind w:left="420" w:leftChars="200"/>
        <w:jc w:val="left"/>
        <w:rPr>
          <w:rFonts w:asciiTheme="minorEastAsia" w:hAnsiTheme="minorEastAsia" w:eastAsiaTheme="minorEastAsia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投资</w:t>
      </w:r>
      <w:r>
        <w:rPr>
          <w:b w:val="0"/>
        </w:rPr>
        <w:t>组合流动</w:t>
      </w:r>
      <w:r>
        <w:rPr>
          <w:rFonts w:hint="eastAsia"/>
          <w:b w:val="0"/>
        </w:rPr>
        <w:t>性</w:t>
      </w:r>
      <w:r>
        <w:rPr>
          <w:b w:val="0"/>
        </w:rPr>
        <w:t>风险分析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产品主要投资范围为标准化资产，并保有一定流动性储备，整体流动性风险可控。本产品通过额度控制、事前预测、募集资金、正回购及变现高流动性资产的方式应对流动性风险。具体包括：一是跟踪资金申购赎回（或到期）情况，提前备付流动资金；二是根据产品的期限，合理安排投资资产剩余期限，预防流动性风险；三是产品持有一定比例的高流动性资产，赎回期（或到期）前主要通过储备的流动性或卖出资产变现，满足产品的流动性需求。</w:t>
      </w:r>
    </w:p>
    <w:p>
      <w:pPr>
        <w:widowControl/>
        <w:jc w:val="left"/>
        <w:rPr>
          <w:rFonts w:ascii="宋体" w:hAnsi="宋体"/>
          <w:sz w:val="24"/>
        </w:rPr>
      </w:pPr>
    </w:p>
    <w:p>
      <w:pPr>
        <w:pStyle w:val="41"/>
        <w:spacing w:before="156" w:after="156"/>
        <w:rPr>
          <w:b w:val="0"/>
        </w:rPr>
      </w:pPr>
      <w:r>
        <w:rPr>
          <w:rFonts w:hint="eastAsia"/>
          <w:b w:val="0"/>
        </w:rPr>
        <w:t>报告期末占资产净值比例大小排序的前十项资产</w:t>
      </w:r>
      <w:r>
        <w:rPr>
          <w:b w:val="0"/>
        </w:rPr>
        <w:t>明细</w:t>
      </w:r>
    </w:p>
    <w:p>
      <w:pPr>
        <w:jc w:val="right"/>
        <w:rPr>
          <w:rFonts w:ascii="宋体" w:hAnsi="宋体"/>
        </w:rPr>
      </w:pPr>
      <w:r>
        <w:rPr>
          <w:rFonts w:hint="eastAsia" w:ascii="宋体" w:hAnsi="宋体"/>
        </w:rPr>
        <w:t>金额单位：元</w:t>
      </w:r>
    </w:p>
    <w:tbl>
      <w:tblPr>
        <w:tblStyle w:val="1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159"/>
        <w:gridCol w:w="2693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77" w:type="dxa"/>
            <w:shd w:val="clear" w:color="auto" w:fill="D9D9D9"/>
            <w:vAlign w:val="center"/>
          </w:tcPr>
          <w:p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159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资产名称</w:t>
            </w:r>
          </w:p>
        </w:tc>
        <w:tc>
          <w:tcPr>
            <w:tcW w:w="2693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</w:t>
            </w:r>
          </w:p>
        </w:tc>
        <w:tc>
          <w:tcPr>
            <w:tcW w:w="2431" w:type="dxa"/>
            <w:shd w:val="clear" w:color="auto" w:fill="D9D9D9"/>
            <w:vAlign w:val="center"/>
          </w:tcPr>
          <w:p>
            <w:pPr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占产品资产净值比例（%）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GC007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15,006,867.64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23泸州产业SCP002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10,046,054.64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23浙商银行CD208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9,899,530.05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8.67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20空港兴城MTN001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8,234,277.60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7.21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23湔江非公开短债D1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7,162,457.53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23香城投资SCP002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7,116,062.30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23自高01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6,242,178.08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21川振兴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6,034,775.34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23桂林银行CD237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5,970,145.38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3159" w:type="dxa"/>
            <w:shd w:val="clear" w:color="auto" w:fill="auto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22川菜01</w:t>
            </w:r>
          </w:p>
        </w:tc>
        <w:tc>
          <w:tcPr>
            <w:tcW w:w="2693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r>
              <w:rPr>
                <w:rFonts w:ascii="宋体" w:hAnsi="宋体"/>
              </w:rPr>
              <w:t>5,251,883.56</w:t>
            </w:r>
          </w:p>
        </w:tc>
        <w:tc>
          <w:tcPr>
            <w:tcW w:w="2431" w:type="dxa"/>
            <w:shd w:val="clear" w:color="auto" w:fill="auto"/>
            <w:vAlign w:val="center"/>
          </w:tcPr>
          <w:p>
            <w:pPr>
              <w:jc w:val="right"/>
              <w:rPr>
                <w:rFonts w:ascii="宋体" w:hAnsi="宋体"/>
              </w:rPr>
            </w:pPr>
            <w:bookmarkStart w:id="4" w:name="OLE_LINK6"/>
            <w:bookmarkStart w:id="5" w:name="OLE_LINK5"/>
            <w:r>
              <w:rPr>
                <w:rFonts w:ascii="宋体" w:hAnsi="宋体"/>
              </w:rPr>
              <w:t>4.60</w:t>
            </w:r>
            <w:bookmarkEnd w:id="4"/>
            <w:bookmarkEnd w:id="5"/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ind w:left="424" w:leftChars="202"/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注：前十项资产明细仅包含证券投资、场外投资，不包含银行存款、存出保证金、清算备付金等资产。</w:t>
      </w:r>
    </w:p>
    <w:p>
      <w:pPr>
        <w:pStyle w:val="40"/>
      </w:pPr>
      <w:r>
        <w:t>托管人报告</w:t>
      </w:r>
    </w:p>
    <w:p>
      <w:pPr>
        <w:spacing w:line="360" w:lineRule="auto"/>
        <w:ind w:right="-107" w:rightChars="-51"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招商银行具备完善的公司治理结构、内部稽核监控制度和风险控制制度，我行在履行托管职责中，严格遵守有关法律法规、托管协议的规定，尽职尽责地履行托管义务并安全保管托管资产。</w:t>
      </w:r>
    </w:p>
    <w:p>
      <w:pPr>
        <w:jc w:val="left"/>
        <w:rPr>
          <w:rFonts w:asciiTheme="minorEastAsia" w:hAnsiTheme="minorEastAsia" w:eastAsiaTheme="minorEastAsia"/>
          <w:szCs w:val="21"/>
        </w:rPr>
      </w:pPr>
    </w:p>
    <w:p>
      <w:pPr>
        <w:pStyle w:val="40"/>
      </w:pPr>
      <w:r>
        <w:rPr>
          <w:rFonts w:hint="eastAsia"/>
          <w:lang w:val="en-US"/>
        </w:rPr>
        <w:t>关联交易情况说明</w:t>
      </w:r>
    </w:p>
    <w:p>
      <w:pPr>
        <w:jc w:val="left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本报告期末，本产品投资的</w:t>
      </w:r>
      <w:r>
        <w:rPr>
          <w:rFonts w:hint="eastAsia" w:ascii="宋体" w:hAnsi="宋体"/>
          <w:szCs w:val="21"/>
        </w:rPr>
        <w:t>21眉府01</w:t>
      </w:r>
      <w:r>
        <w:rPr>
          <w:rFonts w:hint="eastAsia" w:asciiTheme="minorEastAsia" w:hAnsiTheme="minorEastAsia" w:eastAsiaTheme="minorEastAsia"/>
          <w:szCs w:val="21"/>
        </w:rPr>
        <w:t>属于关联交易。</w:t>
      </w:r>
    </w:p>
    <w:p>
      <w:pPr>
        <w:jc w:val="right"/>
        <w:rPr>
          <w:rFonts w:ascii="宋体" w:hAnsi="宋体"/>
          <w:sz w:val="24"/>
        </w:rPr>
      </w:pPr>
      <w:bookmarkStart w:id="6" w:name="_GoBack"/>
      <w:bookmarkEnd w:id="6"/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4"/>
        </w:rPr>
      </w:pP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四川银行股份有限公司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2024-03-30</w:t>
      </w:r>
      <w:r>
        <w:rPr>
          <w:rFonts w:hint="eastAsia" w:ascii="宋体" w:hAnsi="宋体"/>
          <w:sz w:val="28"/>
          <w:szCs w:val="28"/>
        </w:rPr>
        <w:t xml:space="preserve">                   </w:t>
      </w:r>
    </w:p>
    <w:sectPr>
      <w:footerReference r:id="rId3" w:type="default"/>
      <w:footerReference r:id="rId4" w:type="even"/>
      <w:pgSz w:w="11906" w:h="16838"/>
      <w:pgMar w:top="1440" w:right="1531" w:bottom="1134" w:left="1531" w:header="851" w:footer="992" w:gutter="0"/>
      <w:pgNumType w:fmt="decimal" w:start="1" w:chapSep="hyphen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  <w:rFonts w:hint="eastAsia"/>
      </w:rPr>
      <w:t xml:space="preserve"> </w:t>
    </w:r>
  </w:p>
  <w:p>
    <w:pPr>
      <w:pStyle w:val="10"/>
      <w:ind w:right="108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framePr w:wrap="around" w:vAnchor="text" w:hAnchor="margin" w:xAlign="right" w:y="1"/>
      <w:rPr>
        <w:rStyle w:val="20"/>
      </w:rPr>
    </w:pPr>
    <w:r>
      <w:rPr>
        <w:rStyle w:val="20"/>
      </w:rPr>
      <w:fldChar w:fldCharType="begin"/>
    </w:r>
    <w:r>
      <w:rPr>
        <w:rStyle w:val="20"/>
      </w:rPr>
      <w:instrText xml:space="preserve">PAGE  </w:instrText>
    </w:r>
    <w:r>
      <w:rPr>
        <w:rStyle w:val="20"/>
      </w:rPr>
      <w:fldChar w:fldCharType="end"/>
    </w:r>
  </w:p>
  <w:p>
    <w:pPr>
      <w:pStyle w:val="10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7D73EE"/>
    <w:multiLevelType w:val="multilevel"/>
    <w:tmpl w:val="547D73EE"/>
    <w:lvl w:ilvl="0" w:tentative="0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41"/>
      <w:suff w:val="space"/>
      <w:lvlText w:val="%1.%2"/>
      <w:lvlJc w:val="left"/>
      <w:pPr>
        <w:ind w:left="454" w:hanging="454"/>
      </w:pPr>
      <w:rPr>
        <w:rFonts w:hint="eastAsia"/>
      </w:rPr>
    </w:lvl>
    <w:lvl w:ilvl="2" w:tentative="0">
      <w:start w:val="1"/>
      <w:numFmt w:val="decimal"/>
      <w:pStyle w:val="42"/>
      <w:suff w:val="space"/>
      <w:lvlText w:val="%1.%2.%3"/>
      <w:lvlJc w:val="left"/>
      <w:pPr>
        <w:ind w:left="1050" w:hanging="624"/>
      </w:pPr>
      <w:rPr>
        <w:rFonts w:hint="eastAsia"/>
      </w:rPr>
    </w:lvl>
    <w:lvl w:ilvl="3" w:tentative="0">
      <w:start w:val="1"/>
      <w:numFmt w:val="decimal"/>
      <w:pStyle w:val="43"/>
      <w:suff w:val="space"/>
      <w:lvlText w:val="%1.%2.%3.%4"/>
      <w:lvlJc w:val="left"/>
      <w:pPr>
        <w:ind w:left="794" w:hanging="794"/>
      </w:pPr>
      <w:rPr>
        <w:rFonts w:hint="eastAsia"/>
      </w:rPr>
    </w:lvl>
    <w:lvl w:ilvl="4" w:tentative="0">
      <w:start w:val="1"/>
      <w:numFmt w:val="decimal"/>
      <w:pStyle w:val="44"/>
      <w:suff w:val="space"/>
      <w:lvlText w:val="%1.%2.%3.%4.%5"/>
      <w:lvlJc w:val="left"/>
      <w:pPr>
        <w:ind w:left="1021" w:hanging="1021"/>
      </w:pPr>
      <w:rPr>
        <w:rFonts w:hint="eastAsia"/>
      </w:rPr>
    </w:lvl>
    <w:lvl w:ilvl="5" w:tentative="0">
      <w:start w:val="1"/>
      <w:numFmt w:val="decimal"/>
      <w:pStyle w:val="45"/>
      <w:suff w:val="space"/>
      <w:lvlText w:val="%1.%2.%3.%4.%5.%6"/>
      <w:lvlJc w:val="left"/>
      <w:pPr>
        <w:ind w:left="1021" w:hanging="1021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>
    <w:nsid w:val="7E1B1D2A"/>
    <w:multiLevelType w:val="multilevel"/>
    <w:tmpl w:val="7E1B1D2A"/>
    <w:lvl w:ilvl="0" w:tentative="0">
      <w:start w:val="1"/>
      <w:numFmt w:val="decimal"/>
      <w:pStyle w:val="40"/>
      <w:lvlText w:val="%1、"/>
      <w:lvlJc w:val="left"/>
      <w:pPr>
        <w:ind w:left="420" w:hanging="420"/>
      </w:pPr>
      <w:rPr>
        <w:rFonts w:hint="eastAsia"/>
        <w:spacing w:val="-2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jNTY1NWIxMDNhZGI5NmE2MzY3Njg3NTM2Mjc2ZTIifQ=="/>
    <w:docVar w:name="KSO_WPS_MARK_KEY" w:val="1ff865cf-e8fa-4a2b-a3cd-7e7742905ac8"/>
  </w:docVars>
  <w:rsids>
    <w:rsidRoot w:val="00172A27"/>
    <w:rsid w:val="00001A36"/>
    <w:rsid w:val="00011E30"/>
    <w:rsid w:val="00011E76"/>
    <w:rsid w:val="000167A6"/>
    <w:rsid w:val="00017B7D"/>
    <w:rsid w:val="000224FE"/>
    <w:rsid w:val="00024803"/>
    <w:rsid w:val="00024FA2"/>
    <w:rsid w:val="00025E0C"/>
    <w:rsid w:val="0002761E"/>
    <w:rsid w:val="00027C34"/>
    <w:rsid w:val="00035197"/>
    <w:rsid w:val="00036749"/>
    <w:rsid w:val="00036CDC"/>
    <w:rsid w:val="0003799B"/>
    <w:rsid w:val="00047F36"/>
    <w:rsid w:val="00055BE3"/>
    <w:rsid w:val="0006004E"/>
    <w:rsid w:val="0006022E"/>
    <w:rsid w:val="00062D58"/>
    <w:rsid w:val="000666E4"/>
    <w:rsid w:val="000739FE"/>
    <w:rsid w:val="00074396"/>
    <w:rsid w:val="000745C5"/>
    <w:rsid w:val="00074778"/>
    <w:rsid w:val="000811DB"/>
    <w:rsid w:val="00081814"/>
    <w:rsid w:val="000825DB"/>
    <w:rsid w:val="00083139"/>
    <w:rsid w:val="00083345"/>
    <w:rsid w:val="00084444"/>
    <w:rsid w:val="000954BC"/>
    <w:rsid w:val="000957D7"/>
    <w:rsid w:val="00096252"/>
    <w:rsid w:val="000A0247"/>
    <w:rsid w:val="000A1C35"/>
    <w:rsid w:val="000B049B"/>
    <w:rsid w:val="000B12F7"/>
    <w:rsid w:val="000B65EC"/>
    <w:rsid w:val="000C0357"/>
    <w:rsid w:val="000C5B47"/>
    <w:rsid w:val="000D078C"/>
    <w:rsid w:val="000D4CEA"/>
    <w:rsid w:val="000D5DDE"/>
    <w:rsid w:val="000E103E"/>
    <w:rsid w:val="000E2280"/>
    <w:rsid w:val="000E5BF4"/>
    <w:rsid w:val="000E7303"/>
    <w:rsid w:val="000E7594"/>
    <w:rsid w:val="000E7EE4"/>
    <w:rsid w:val="000F1CA3"/>
    <w:rsid w:val="000F1EB8"/>
    <w:rsid w:val="000F79B4"/>
    <w:rsid w:val="00123DCF"/>
    <w:rsid w:val="001241D2"/>
    <w:rsid w:val="00127EE5"/>
    <w:rsid w:val="00130058"/>
    <w:rsid w:val="001304CE"/>
    <w:rsid w:val="00130B97"/>
    <w:rsid w:val="00131F63"/>
    <w:rsid w:val="001321D3"/>
    <w:rsid w:val="001367E6"/>
    <w:rsid w:val="0013763A"/>
    <w:rsid w:val="00137F13"/>
    <w:rsid w:val="00142BF7"/>
    <w:rsid w:val="001438D5"/>
    <w:rsid w:val="001505C2"/>
    <w:rsid w:val="0015110C"/>
    <w:rsid w:val="0015418C"/>
    <w:rsid w:val="001546E3"/>
    <w:rsid w:val="00156CE7"/>
    <w:rsid w:val="001634F8"/>
    <w:rsid w:val="00172A27"/>
    <w:rsid w:val="00175535"/>
    <w:rsid w:val="0019201F"/>
    <w:rsid w:val="00196688"/>
    <w:rsid w:val="001A6A60"/>
    <w:rsid w:val="001A6DCE"/>
    <w:rsid w:val="001B0D81"/>
    <w:rsid w:val="001B2258"/>
    <w:rsid w:val="001B3575"/>
    <w:rsid w:val="001B43F0"/>
    <w:rsid w:val="001C4ACD"/>
    <w:rsid w:val="001C5999"/>
    <w:rsid w:val="001D364E"/>
    <w:rsid w:val="001E1A37"/>
    <w:rsid w:val="001E27AF"/>
    <w:rsid w:val="001E2A08"/>
    <w:rsid w:val="001E4B7A"/>
    <w:rsid w:val="001E7354"/>
    <w:rsid w:val="001E7E3E"/>
    <w:rsid w:val="001F28F0"/>
    <w:rsid w:val="001F4ADC"/>
    <w:rsid w:val="001F5BAE"/>
    <w:rsid w:val="001F7D68"/>
    <w:rsid w:val="00203F6A"/>
    <w:rsid w:val="00210223"/>
    <w:rsid w:val="0021036E"/>
    <w:rsid w:val="00212735"/>
    <w:rsid w:val="00212AC6"/>
    <w:rsid w:val="00217B81"/>
    <w:rsid w:val="00222DFB"/>
    <w:rsid w:val="00226962"/>
    <w:rsid w:val="00226D1D"/>
    <w:rsid w:val="00227C89"/>
    <w:rsid w:val="0024340D"/>
    <w:rsid w:val="00246E06"/>
    <w:rsid w:val="002520E6"/>
    <w:rsid w:val="00254241"/>
    <w:rsid w:val="002543ED"/>
    <w:rsid w:val="002550F8"/>
    <w:rsid w:val="00256F99"/>
    <w:rsid w:val="00261703"/>
    <w:rsid w:val="00265F21"/>
    <w:rsid w:val="002709E9"/>
    <w:rsid w:val="00285198"/>
    <w:rsid w:val="0028673C"/>
    <w:rsid w:val="00291837"/>
    <w:rsid w:val="00293CED"/>
    <w:rsid w:val="002A1060"/>
    <w:rsid w:val="002A6967"/>
    <w:rsid w:val="002B18D0"/>
    <w:rsid w:val="002B1BF7"/>
    <w:rsid w:val="002B2425"/>
    <w:rsid w:val="002B5C75"/>
    <w:rsid w:val="002B6AB0"/>
    <w:rsid w:val="002B6D92"/>
    <w:rsid w:val="002C0D52"/>
    <w:rsid w:val="002D3143"/>
    <w:rsid w:val="002D50E0"/>
    <w:rsid w:val="002D70F8"/>
    <w:rsid w:val="002E15C2"/>
    <w:rsid w:val="002E2A8D"/>
    <w:rsid w:val="002E366D"/>
    <w:rsid w:val="002E37D7"/>
    <w:rsid w:val="002E6930"/>
    <w:rsid w:val="002F1904"/>
    <w:rsid w:val="002F1EBF"/>
    <w:rsid w:val="002F244E"/>
    <w:rsid w:val="002F2A39"/>
    <w:rsid w:val="002F73B7"/>
    <w:rsid w:val="003017B8"/>
    <w:rsid w:val="00302E0B"/>
    <w:rsid w:val="0030728E"/>
    <w:rsid w:val="003170E3"/>
    <w:rsid w:val="003217E4"/>
    <w:rsid w:val="003245FC"/>
    <w:rsid w:val="003350C8"/>
    <w:rsid w:val="00336953"/>
    <w:rsid w:val="0034174F"/>
    <w:rsid w:val="00347E59"/>
    <w:rsid w:val="0035009E"/>
    <w:rsid w:val="00351099"/>
    <w:rsid w:val="00352670"/>
    <w:rsid w:val="0035379B"/>
    <w:rsid w:val="003545C4"/>
    <w:rsid w:val="00354AB0"/>
    <w:rsid w:val="00355F58"/>
    <w:rsid w:val="00362921"/>
    <w:rsid w:val="003629D6"/>
    <w:rsid w:val="0036621F"/>
    <w:rsid w:val="00370236"/>
    <w:rsid w:val="00370D1C"/>
    <w:rsid w:val="0037107A"/>
    <w:rsid w:val="0037163C"/>
    <w:rsid w:val="00372961"/>
    <w:rsid w:val="00373861"/>
    <w:rsid w:val="0037574C"/>
    <w:rsid w:val="00380B72"/>
    <w:rsid w:val="00386B5A"/>
    <w:rsid w:val="00391B1F"/>
    <w:rsid w:val="00392524"/>
    <w:rsid w:val="0039364C"/>
    <w:rsid w:val="00394EF9"/>
    <w:rsid w:val="00397112"/>
    <w:rsid w:val="00397200"/>
    <w:rsid w:val="003A0970"/>
    <w:rsid w:val="003A7C09"/>
    <w:rsid w:val="003B436D"/>
    <w:rsid w:val="003B7836"/>
    <w:rsid w:val="003C0A61"/>
    <w:rsid w:val="003C24AD"/>
    <w:rsid w:val="003C5071"/>
    <w:rsid w:val="003D0E86"/>
    <w:rsid w:val="003D15A3"/>
    <w:rsid w:val="003D39AE"/>
    <w:rsid w:val="003D4200"/>
    <w:rsid w:val="003D7D84"/>
    <w:rsid w:val="003E15D9"/>
    <w:rsid w:val="003E460E"/>
    <w:rsid w:val="003E7218"/>
    <w:rsid w:val="0040013A"/>
    <w:rsid w:val="0040127C"/>
    <w:rsid w:val="00415C27"/>
    <w:rsid w:val="004169FD"/>
    <w:rsid w:val="00420876"/>
    <w:rsid w:val="0042283D"/>
    <w:rsid w:val="004332EF"/>
    <w:rsid w:val="004405BC"/>
    <w:rsid w:val="0044179E"/>
    <w:rsid w:val="004422DD"/>
    <w:rsid w:val="00442C23"/>
    <w:rsid w:val="00442E16"/>
    <w:rsid w:val="0044354B"/>
    <w:rsid w:val="00444430"/>
    <w:rsid w:val="00445B1D"/>
    <w:rsid w:val="00445B84"/>
    <w:rsid w:val="00445B9F"/>
    <w:rsid w:val="00450537"/>
    <w:rsid w:val="00451D7B"/>
    <w:rsid w:val="0045697B"/>
    <w:rsid w:val="00457E70"/>
    <w:rsid w:val="0046347F"/>
    <w:rsid w:val="0046369D"/>
    <w:rsid w:val="00464A4B"/>
    <w:rsid w:val="00465827"/>
    <w:rsid w:val="00466631"/>
    <w:rsid w:val="00467018"/>
    <w:rsid w:val="0047019A"/>
    <w:rsid w:val="00475C49"/>
    <w:rsid w:val="00477FEC"/>
    <w:rsid w:val="00482F15"/>
    <w:rsid w:val="004864F2"/>
    <w:rsid w:val="00487E77"/>
    <w:rsid w:val="004925AF"/>
    <w:rsid w:val="00493D46"/>
    <w:rsid w:val="004976C7"/>
    <w:rsid w:val="00497AFF"/>
    <w:rsid w:val="004B6EF6"/>
    <w:rsid w:val="004C126D"/>
    <w:rsid w:val="004C2C74"/>
    <w:rsid w:val="004C439A"/>
    <w:rsid w:val="004C56A8"/>
    <w:rsid w:val="004C689C"/>
    <w:rsid w:val="004D2B6B"/>
    <w:rsid w:val="004D2D2A"/>
    <w:rsid w:val="004E2CFE"/>
    <w:rsid w:val="004E344E"/>
    <w:rsid w:val="004E4E80"/>
    <w:rsid w:val="004E53DD"/>
    <w:rsid w:val="004F50D0"/>
    <w:rsid w:val="004F55AB"/>
    <w:rsid w:val="004F5803"/>
    <w:rsid w:val="004F64A1"/>
    <w:rsid w:val="00500777"/>
    <w:rsid w:val="00501D92"/>
    <w:rsid w:val="00503B75"/>
    <w:rsid w:val="005066A6"/>
    <w:rsid w:val="00511DB9"/>
    <w:rsid w:val="00513688"/>
    <w:rsid w:val="00513763"/>
    <w:rsid w:val="00524F71"/>
    <w:rsid w:val="00527A49"/>
    <w:rsid w:val="005310A6"/>
    <w:rsid w:val="0053595B"/>
    <w:rsid w:val="00537901"/>
    <w:rsid w:val="00540DE6"/>
    <w:rsid w:val="00542A91"/>
    <w:rsid w:val="0054387B"/>
    <w:rsid w:val="005465B6"/>
    <w:rsid w:val="00554065"/>
    <w:rsid w:val="00555D8D"/>
    <w:rsid w:val="00560EAF"/>
    <w:rsid w:val="00572059"/>
    <w:rsid w:val="00573E83"/>
    <w:rsid w:val="005775FA"/>
    <w:rsid w:val="00583550"/>
    <w:rsid w:val="00591622"/>
    <w:rsid w:val="005947ED"/>
    <w:rsid w:val="00596277"/>
    <w:rsid w:val="005B6C71"/>
    <w:rsid w:val="005C208D"/>
    <w:rsid w:val="005C6300"/>
    <w:rsid w:val="005D0C97"/>
    <w:rsid w:val="005D2052"/>
    <w:rsid w:val="005D22EB"/>
    <w:rsid w:val="005D3D05"/>
    <w:rsid w:val="005E1666"/>
    <w:rsid w:val="005E1A2D"/>
    <w:rsid w:val="005E31BD"/>
    <w:rsid w:val="005E3ECA"/>
    <w:rsid w:val="005E4AD5"/>
    <w:rsid w:val="005E5183"/>
    <w:rsid w:val="005F4FA6"/>
    <w:rsid w:val="005F6FF9"/>
    <w:rsid w:val="005F71F6"/>
    <w:rsid w:val="00600E89"/>
    <w:rsid w:val="00603880"/>
    <w:rsid w:val="00603FEA"/>
    <w:rsid w:val="00604956"/>
    <w:rsid w:val="006108E0"/>
    <w:rsid w:val="00612615"/>
    <w:rsid w:val="00612ABC"/>
    <w:rsid w:val="00620EA2"/>
    <w:rsid w:val="00625E1C"/>
    <w:rsid w:val="00632039"/>
    <w:rsid w:val="00641758"/>
    <w:rsid w:val="00643676"/>
    <w:rsid w:val="006436D6"/>
    <w:rsid w:val="006458E3"/>
    <w:rsid w:val="006464AD"/>
    <w:rsid w:val="00647545"/>
    <w:rsid w:val="00647AB1"/>
    <w:rsid w:val="00655059"/>
    <w:rsid w:val="00660553"/>
    <w:rsid w:val="00663245"/>
    <w:rsid w:val="00663DE1"/>
    <w:rsid w:val="00664C86"/>
    <w:rsid w:val="00665902"/>
    <w:rsid w:val="006664D5"/>
    <w:rsid w:val="00667447"/>
    <w:rsid w:val="0067267E"/>
    <w:rsid w:val="00675178"/>
    <w:rsid w:val="006761C2"/>
    <w:rsid w:val="006771FF"/>
    <w:rsid w:val="00682943"/>
    <w:rsid w:val="00683D3B"/>
    <w:rsid w:val="006876F4"/>
    <w:rsid w:val="00692A30"/>
    <w:rsid w:val="00693EF1"/>
    <w:rsid w:val="00697DB7"/>
    <w:rsid w:val="006A307A"/>
    <w:rsid w:val="006B0B91"/>
    <w:rsid w:val="006B24E7"/>
    <w:rsid w:val="006B554E"/>
    <w:rsid w:val="006B5B87"/>
    <w:rsid w:val="006C21A8"/>
    <w:rsid w:val="006C49D3"/>
    <w:rsid w:val="006C742E"/>
    <w:rsid w:val="006D78DE"/>
    <w:rsid w:val="006E2B12"/>
    <w:rsid w:val="006E3BE7"/>
    <w:rsid w:val="006E5986"/>
    <w:rsid w:val="006E5F79"/>
    <w:rsid w:val="006E6073"/>
    <w:rsid w:val="006E7D51"/>
    <w:rsid w:val="006F01F5"/>
    <w:rsid w:val="006F05AC"/>
    <w:rsid w:val="006F1E99"/>
    <w:rsid w:val="006F26FB"/>
    <w:rsid w:val="006F2A9A"/>
    <w:rsid w:val="006F33DF"/>
    <w:rsid w:val="00710F9C"/>
    <w:rsid w:val="00711860"/>
    <w:rsid w:val="00714D1B"/>
    <w:rsid w:val="00717029"/>
    <w:rsid w:val="00720312"/>
    <w:rsid w:val="0072202C"/>
    <w:rsid w:val="0072288E"/>
    <w:rsid w:val="00730BF8"/>
    <w:rsid w:val="007313AE"/>
    <w:rsid w:val="0073667E"/>
    <w:rsid w:val="00740012"/>
    <w:rsid w:val="00741F34"/>
    <w:rsid w:val="00745B3A"/>
    <w:rsid w:val="0074780F"/>
    <w:rsid w:val="007502BB"/>
    <w:rsid w:val="007520B7"/>
    <w:rsid w:val="00752D2E"/>
    <w:rsid w:val="007539EE"/>
    <w:rsid w:val="00756CFF"/>
    <w:rsid w:val="00762F4A"/>
    <w:rsid w:val="007633CA"/>
    <w:rsid w:val="007663F0"/>
    <w:rsid w:val="00774DB3"/>
    <w:rsid w:val="00777511"/>
    <w:rsid w:val="00782BD3"/>
    <w:rsid w:val="00783A2D"/>
    <w:rsid w:val="0078701B"/>
    <w:rsid w:val="0079003D"/>
    <w:rsid w:val="00790F54"/>
    <w:rsid w:val="0079349C"/>
    <w:rsid w:val="007957D3"/>
    <w:rsid w:val="007A41FE"/>
    <w:rsid w:val="007A4FF1"/>
    <w:rsid w:val="007A5C4C"/>
    <w:rsid w:val="007A6008"/>
    <w:rsid w:val="007A66E8"/>
    <w:rsid w:val="007A67A8"/>
    <w:rsid w:val="007A6D6E"/>
    <w:rsid w:val="007C00B5"/>
    <w:rsid w:val="007C271F"/>
    <w:rsid w:val="007D4695"/>
    <w:rsid w:val="007D5F69"/>
    <w:rsid w:val="007D7D2D"/>
    <w:rsid w:val="007E24A8"/>
    <w:rsid w:val="007E6BBB"/>
    <w:rsid w:val="007F261A"/>
    <w:rsid w:val="007F4389"/>
    <w:rsid w:val="00805841"/>
    <w:rsid w:val="008067E9"/>
    <w:rsid w:val="008138C2"/>
    <w:rsid w:val="008207FC"/>
    <w:rsid w:val="00824A1A"/>
    <w:rsid w:val="0082723D"/>
    <w:rsid w:val="00830FB1"/>
    <w:rsid w:val="008318D4"/>
    <w:rsid w:val="00835C56"/>
    <w:rsid w:val="00835F60"/>
    <w:rsid w:val="0083628C"/>
    <w:rsid w:val="00840509"/>
    <w:rsid w:val="00840E2A"/>
    <w:rsid w:val="00841B85"/>
    <w:rsid w:val="0084484A"/>
    <w:rsid w:val="00845EAD"/>
    <w:rsid w:val="008509BD"/>
    <w:rsid w:val="008518FE"/>
    <w:rsid w:val="008631C4"/>
    <w:rsid w:val="00863246"/>
    <w:rsid w:val="008647E2"/>
    <w:rsid w:val="00865A3B"/>
    <w:rsid w:val="00867C1C"/>
    <w:rsid w:val="0087458E"/>
    <w:rsid w:val="00874F4C"/>
    <w:rsid w:val="00877005"/>
    <w:rsid w:val="0088112D"/>
    <w:rsid w:val="0088245D"/>
    <w:rsid w:val="00886D81"/>
    <w:rsid w:val="00893B6A"/>
    <w:rsid w:val="008A0C31"/>
    <w:rsid w:val="008A1EE5"/>
    <w:rsid w:val="008A2F62"/>
    <w:rsid w:val="008B10B5"/>
    <w:rsid w:val="008B3EC8"/>
    <w:rsid w:val="008B6C92"/>
    <w:rsid w:val="008B7CE7"/>
    <w:rsid w:val="008C3A26"/>
    <w:rsid w:val="008C42A4"/>
    <w:rsid w:val="008C53F1"/>
    <w:rsid w:val="008C5FF0"/>
    <w:rsid w:val="008D1AF9"/>
    <w:rsid w:val="008D2226"/>
    <w:rsid w:val="008E4405"/>
    <w:rsid w:val="008E4839"/>
    <w:rsid w:val="008E5D81"/>
    <w:rsid w:val="008E656C"/>
    <w:rsid w:val="008E704C"/>
    <w:rsid w:val="008F39A1"/>
    <w:rsid w:val="00902772"/>
    <w:rsid w:val="00903665"/>
    <w:rsid w:val="0090419E"/>
    <w:rsid w:val="00904C28"/>
    <w:rsid w:val="009053AC"/>
    <w:rsid w:val="00910979"/>
    <w:rsid w:val="00913FA1"/>
    <w:rsid w:val="00916263"/>
    <w:rsid w:val="00916B1E"/>
    <w:rsid w:val="00916CF7"/>
    <w:rsid w:val="00916F72"/>
    <w:rsid w:val="009200D9"/>
    <w:rsid w:val="00924290"/>
    <w:rsid w:val="0093136C"/>
    <w:rsid w:val="009361E0"/>
    <w:rsid w:val="00940851"/>
    <w:rsid w:val="00950E79"/>
    <w:rsid w:val="00953DC8"/>
    <w:rsid w:val="009541DC"/>
    <w:rsid w:val="00954DED"/>
    <w:rsid w:val="00957FBC"/>
    <w:rsid w:val="0096288A"/>
    <w:rsid w:val="0096360D"/>
    <w:rsid w:val="00963665"/>
    <w:rsid w:val="009647CE"/>
    <w:rsid w:val="00964DCE"/>
    <w:rsid w:val="009661C0"/>
    <w:rsid w:val="009713B5"/>
    <w:rsid w:val="0097695A"/>
    <w:rsid w:val="00982515"/>
    <w:rsid w:val="00985C6F"/>
    <w:rsid w:val="00987DA5"/>
    <w:rsid w:val="00996119"/>
    <w:rsid w:val="009A10CD"/>
    <w:rsid w:val="009B1BE6"/>
    <w:rsid w:val="009B2215"/>
    <w:rsid w:val="009B3F2A"/>
    <w:rsid w:val="009B493D"/>
    <w:rsid w:val="009B6017"/>
    <w:rsid w:val="009B77A4"/>
    <w:rsid w:val="009B7B34"/>
    <w:rsid w:val="009C02EB"/>
    <w:rsid w:val="009C263C"/>
    <w:rsid w:val="009C760C"/>
    <w:rsid w:val="009D22C9"/>
    <w:rsid w:val="009D59B1"/>
    <w:rsid w:val="009D6E38"/>
    <w:rsid w:val="009D7F30"/>
    <w:rsid w:val="009E7949"/>
    <w:rsid w:val="009F1173"/>
    <w:rsid w:val="009F2CE7"/>
    <w:rsid w:val="009F6300"/>
    <w:rsid w:val="00A03DAA"/>
    <w:rsid w:val="00A053A7"/>
    <w:rsid w:val="00A07072"/>
    <w:rsid w:val="00A1398C"/>
    <w:rsid w:val="00A16209"/>
    <w:rsid w:val="00A179D8"/>
    <w:rsid w:val="00A17F78"/>
    <w:rsid w:val="00A217B1"/>
    <w:rsid w:val="00A226D6"/>
    <w:rsid w:val="00A326C7"/>
    <w:rsid w:val="00A34E4F"/>
    <w:rsid w:val="00A36005"/>
    <w:rsid w:val="00A36F6E"/>
    <w:rsid w:val="00A40FDD"/>
    <w:rsid w:val="00A43B1A"/>
    <w:rsid w:val="00A476E2"/>
    <w:rsid w:val="00A52E27"/>
    <w:rsid w:val="00A66B88"/>
    <w:rsid w:val="00A7059A"/>
    <w:rsid w:val="00A73CCB"/>
    <w:rsid w:val="00A754BF"/>
    <w:rsid w:val="00A80900"/>
    <w:rsid w:val="00A9256F"/>
    <w:rsid w:val="00A94073"/>
    <w:rsid w:val="00A95724"/>
    <w:rsid w:val="00A97609"/>
    <w:rsid w:val="00AA0964"/>
    <w:rsid w:val="00AA0D73"/>
    <w:rsid w:val="00AB0553"/>
    <w:rsid w:val="00AB7F1E"/>
    <w:rsid w:val="00AC0253"/>
    <w:rsid w:val="00AC760B"/>
    <w:rsid w:val="00AD0E90"/>
    <w:rsid w:val="00AD267E"/>
    <w:rsid w:val="00AD5950"/>
    <w:rsid w:val="00AE7B09"/>
    <w:rsid w:val="00AF4B02"/>
    <w:rsid w:val="00AF5C38"/>
    <w:rsid w:val="00B01D6A"/>
    <w:rsid w:val="00B0308C"/>
    <w:rsid w:val="00B10E20"/>
    <w:rsid w:val="00B13755"/>
    <w:rsid w:val="00B14EDA"/>
    <w:rsid w:val="00B15B26"/>
    <w:rsid w:val="00B15EA7"/>
    <w:rsid w:val="00B218BF"/>
    <w:rsid w:val="00B27FD9"/>
    <w:rsid w:val="00B30A58"/>
    <w:rsid w:val="00B33E1B"/>
    <w:rsid w:val="00B35FBA"/>
    <w:rsid w:val="00B35FD4"/>
    <w:rsid w:val="00B3750D"/>
    <w:rsid w:val="00B40022"/>
    <w:rsid w:val="00B40969"/>
    <w:rsid w:val="00B4789A"/>
    <w:rsid w:val="00B51B53"/>
    <w:rsid w:val="00B527C6"/>
    <w:rsid w:val="00B63983"/>
    <w:rsid w:val="00B66459"/>
    <w:rsid w:val="00B7027A"/>
    <w:rsid w:val="00B719FD"/>
    <w:rsid w:val="00B71B7E"/>
    <w:rsid w:val="00B73D60"/>
    <w:rsid w:val="00B7675B"/>
    <w:rsid w:val="00B80918"/>
    <w:rsid w:val="00B81709"/>
    <w:rsid w:val="00B82529"/>
    <w:rsid w:val="00B91227"/>
    <w:rsid w:val="00B94D4D"/>
    <w:rsid w:val="00B9576A"/>
    <w:rsid w:val="00B959E0"/>
    <w:rsid w:val="00B9605D"/>
    <w:rsid w:val="00B96F7F"/>
    <w:rsid w:val="00BA2FE9"/>
    <w:rsid w:val="00BB2C8E"/>
    <w:rsid w:val="00BB3836"/>
    <w:rsid w:val="00BC6F6D"/>
    <w:rsid w:val="00BC79AA"/>
    <w:rsid w:val="00BC7BE2"/>
    <w:rsid w:val="00BD01DA"/>
    <w:rsid w:val="00BD1DC0"/>
    <w:rsid w:val="00BE1D4B"/>
    <w:rsid w:val="00BE2BF0"/>
    <w:rsid w:val="00BE491C"/>
    <w:rsid w:val="00BE4F1C"/>
    <w:rsid w:val="00BE6F0A"/>
    <w:rsid w:val="00BE7278"/>
    <w:rsid w:val="00BF2E9E"/>
    <w:rsid w:val="00BF5021"/>
    <w:rsid w:val="00BF6960"/>
    <w:rsid w:val="00C00573"/>
    <w:rsid w:val="00C01D6D"/>
    <w:rsid w:val="00C0394B"/>
    <w:rsid w:val="00C101D8"/>
    <w:rsid w:val="00C15724"/>
    <w:rsid w:val="00C16678"/>
    <w:rsid w:val="00C21599"/>
    <w:rsid w:val="00C244B2"/>
    <w:rsid w:val="00C30868"/>
    <w:rsid w:val="00C41372"/>
    <w:rsid w:val="00C41FD7"/>
    <w:rsid w:val="00C6082A"/>
    <w:rsid w:val="00C61509"/>
    <w:rsid w:val="00C62C53"/>
    <w:rsid w:val="00C64768"/>
    <w:rsid w:val="00C71158"/>
    <w:rsid w:val="00C71A97"/>
    <w:rsid w:val="00C736F6"/>
    <w:rsid w:val="00C81FCB"/>
    <w:rsid w:val="00C829CC"/>
    <w:rsid w:val="00C91212"/>
    <w:rsid w:val="00C92BC1"/>
    <w:rsid w:val="00C96435"/>
    <w:rsid w:val="00CA25E8"/>
    <w:rsid w:val="00CA2731"/>
    <w:rsid w:val="00CA4BB0"/>
    <w:rsid w:val="00CA7053"/>
    <w:rsid w:val="00CB4172"/>
    <w:rsid w:val="00CB57AB"/>
    <w:rsid w:val="00CB6D1B"/>
    <w:rsid w:val="00CC2A43"/>
    <w:rsid w:val="00CC36AC"/>
    <w:rsid w:val="00CC5AAE"/>
    <w:rsid w:val="00CC7CB2"/>
    <w:rsid w:val="00CD017B"/>
    <w:rsid w:val="00CD0859"/>
    <w:rsid w:val="00CD2493"/>
    <w:rsid w:val="00CD55EC"/>
    <w:rsid w:val="00CE36B7"/>
    <w:rsid w:val="00CE41F5"/>
    <w:rsid w:val="00CE4391"/>
    <w:rsid w:val="00CF0D9C"/>
    <w:rsid w:val="00CF2FB6"/>
    <w:rsid w:val="00CF4250"/>
    <w:rsid w:val="00CF49DA"/>
    <w:rsid w:val="00CF5AE8"/>
    <w:rsid w:val="00CF67B5"/>
    <w:rsid w:val="00CF67E8"/>
    <w:rsid w:val="00CF7C5F"/>
    <w:rsid w:val="00D02236"/>
    <w:rsid w:val="00D046D2"/>
    <w:rsid w:val="00D06468"/>
    <w:rsid w:val="00D1017D"/>
    <w:rsid w:val="00D11282"/>
    <w:rsid w:val="00D11D55"/>
    <w:rsid w:val="00D14569"/>
    <w:rsid w:val="00D15B0F"/>
    <w:rsid w:val="00D25096"/>
    <w:rsid w:val="00D2614B"/>
    <w:rsid w:val="00D3035E"/>
    <w:rsid w:val="00D30B4B"/>
    <w:rsid w:val="00D31FD3"/>
    <w:rsid w:val="00D3496C"/>
    <w:rsid w:val="00D3643E"/>
    <w:rsid w:val="00D40841"/>
    <w:rsid w:val="00D411DB"/>
    <w:rsid w:val="00D452EA"/>
    <w:rsid w:val="00D57ABE"/>
    <w:rsid w:val="00D60D0A"/>
    <w:rsid w:val="00D63034"/>
    <w:rsid w:val="00D664DF"/>
    <w:rsid w:val="00D72C48"/>
    <w:rsid w:val="00D7572D"/>
    <w:rsid w:val="00D76EC7"/>
    <w:rsid w:val="00D806F7"/>
    <w:rsid w:val="00D90E8B"/>
    <w:rsid w:val="00D964B6"/>
    <w:rsid w:val="00DA06CF"/>
    <w:rsid w:val="00DA2107"/>
    <w:rsid w:val="00DA482F"/>
    <w:rsid w:val="00DA4F8D"/>
    <w:rsid w:val="00DA567B"/>
    <w:rsid w:val="00DA700A"/>
    <w:rsid w:val="00DB10DE"/>
    <w:rsid w:val="00DC0BCD"/>
    <w:rsid w:val="00DC63EA"/>
    <w:rsid w:val="00DC7755"/>
    <w:rsid w:val="00DD0776"/>
    <w:rsid w:val="00DD2D10"/>
    <w:rsid w:val="00DD493A"/>
    <w:rsid w:val="00DE0BA7"/>
    <w:rsid w:val="00DF1B60"/>
    <w:rsid w:val="00DF64FE"/>
    <w:rsid w:val="00DF70DD"/>
    <w:rsid w:val="00E05CBD"/>
    <w:rsid w:val="00E133C1"/>
    <w:rsid w:val="00E13A22"/>
    <w:rsid w:val="00E22023"/>
    <w:rsid w:val="00E24F6C"/>
    <w:rsid w:val="00E25FBD"/>
    <w:rsid w:val="00E279DD"/>
    <w:rsid w:val="00E27C54"/>
    <w:rsid w:val="00E33DFC"/>
    <w:rsid w:val="00E36DC0"/>
    <w:rsid w:val="00E40C11"/>
    <w:rsid w:val="00E504F9"/>
    <w:rsid w:val="00E5307C"/>
    <w:rsid w:val="00E5314E"/>
    <w:rsid w:val="00E538A2"/>
    <w:rsid w:val="00E65FF2"/>
    <w:rsid w:val="00E67113"/>
    <w:rsid w:val="00E67390"/>
    <w:rsid w:val="00E732A5"/>
    <w:rsid w:val="00E757CD"/>
    <w:rsid w:val="00E76293"/>
    <w:rsid w:val="00E773EF"/>
    <w:rsid w:val="00E841D0"/>
    <w:rsid w:val="00E84CB6"/>
    <w:rsid w:val="00E8759A"/>
    <w:rsid w:val="00E915A7"/>
    <w:rsid w:val="00E9363B"/>
    <w:rsid w:val="00E966EE"/>
    <w:rsid w:val="00EA0D8E"/>
    <w:rsid w:val="00EA4ECB"/>
    <w:rsid w:val="00EA78F0"/>
    <w:rsid w:val="00EB0365"/>
    <w:rsid w:val="00EB1D83"/>
    <w:rsid w:val="00EB210F"/>
    <w:rsid w:val="00EB3AB1"/>
    <w:rsid w:val="00EC2261"/>
    <w:rsid w:val="00ED09EC"/>
    <w:rsid w:val="00ED2B43"/>
    <w:rsid w:val="00EE161E"/>
    <w:rsid w:val="00EE26EB"/>
    <w:rsid w:val="00EE2B73"/>
    <w:rsid w:val="00EF0326"/>
    <w:rsid w:val="00EF0F0F"/>
    <w:rsid w:val="00EF712F"/>
    <w:rsid w:val="00F0048F"/>
    <w:rsid w:val="00F01F55"/>
    <w:rsid w:val="00F141A9"/>
    <w:rsid w:val="00F1772D"/>
    <w:rsid w:val="00F22C55"/>
    <w:rsid w:val="00F270CF"/>
    <w:rsid w:val="00F301E8"/>
    <w:rsid w:val="00F323E3"/>
    <w:rsid w:val="00F34D29"/>
    <w:rsid w:val="00F35C2C"/>
    <w:rsid w:val="00F36C13"/>
    <w:rsid w:val="00F44F0C"/>
    <w:rsid w:val="00F45974"/>
    <w:rsid w:val="00F45EFD"/>
    <w:rsid w:val="00F51B8A"/>
    <w:rsid w:val="00F53A4B"/>
    <w:rsid w:val="00F64D16"/>
    <w:rsid w:val="00F65B50"/>
    <w:rsid w:val="00F66D00"/>
    <w:rsid w:val="00F67B3D"/>
    <w:rsid w:val="00F733D2"/>
    <w:rsid w:val="00F87CF1"/>
    <w:rsid w:val="00F906DF"/>
    <w:rsid w:val="00F934DE"/>
    <w:rsid w:val="00F941F7"/>
    <w:rsid w:val="00F95832"/>
    <w:rsid w:val="00F9693E"/>
    <w:rsid w:val="00F973AF"/>
    <w:rsid w:val="00F9745A"/>
    <w:rsid w:val="00FA5CE9"/>
    <w:rsid w:val="00FA6695"/>
    <w:rsid w:val="00FA794C"/>
    <w:rsid w:val="00FB1C77"/>
    <w:rsid w:val="00FB3F6A"/>
    <w:rsid w:val="00FD2905"/>
    <w:rsid w:val="00FE1CEA"/>
    <w:rsid w:val="00FE3C8E"/>
    <w:rsid w:val="00FE3E86"/>
    <w:rsid w:val="00FE4490"/>
    <w:rsid w:val="00FE51F2"/>
    <w:rsid w:val="00FE52AD"/>
    <w:rsid w:val="00FE5547"/>
    <w:rsid w:val="00FF15E9"/>
    <w:rsid w:val="00FF6973"/>
    <w:rsid w:val="17997161"/>
    <w:rsid w:val="1B614025"/>
    <w:rsid w:val="78FC1C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35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33"/>
    <w:semiHidden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kern w:val="0"/>
      <w:sz w:val="28"/>
      <w:szCs w:val="28"/>
      <w:lang w:val="zh-CN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uiPriority w:val="0"/>
    <w:pPr>
      <w:shd w:val="clear" w:color="auto" w:fill="000080"/>
    </w:pPr>
  </w:style>
  <w:style w:type="paragraph" w:styleId="7">
    <w:name w:val="annotation text"/>
    <w:basedOn w:val="1"/>
    <w:uiPriority w:val="0"/>
    <w:pPr>
      <w:jc w:val="left"/>
    </w:pPr>
  </w:style>
  <w:style w:type="paragraph" w:styleId="8">
    <w:name w:val="Date"/>
    <w:basedOn w:val="1"/>
    <w:next w:val="1"/>
    <w:link w:val="48"/>
    <w:uiPriority w:val="0"/>
    <w:rPr>
      <w:rFonts w:ascii="宋体"/>
      <w:sz w:val="32"/>
      <w:lang w:val="zh-CN"/>
    </w:rPr>
  </w:style>
  <w:style w:type="paragraph" w:styleId="9">
    <w:name w:val="Balloon Text"/>
    <w:basedOn w:val="1"/>
    <w:qFormat/>
    <w:uiPriority w:val="0"/>
    <w:rPr>
      <w:sz w:val="18"/>
      <w:szCs w:val="18"/>
    </w:r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Subtitle"/>
    <w:basedOn w:val="3"/>
    <w:next w:val="4"/>
    <w:link w:val="25"/>
    <w:qFormat/>
    <w:uiPriority w:val="0"/>
    <w:pPr>
      <w:spacing w:before="240" w:after="60" w:line="312" w:lineRule="auto"/>
      <w:jc w:val="left"/>
    </w:pPr>
    <w:rPr>
      <w:bCs w:val="0"/>
      <w:kern w:val="28"/>
      <w:sz w:val="24"/>
    </w:rPr>
  </w:style>
  <w:style w:type="paragraph" w:styleId="13">
    <w:name w:val="footnote text"/>
    <w:basedOn w:val="1"/>
    <w:link w:val="47"/>
    <w:uiPriority w:val="0"/>
    <w:pPr>
      <w:snapToGrid w:val="0"/>
      <w:jc w:val="left"/>
    </w:pPr>
    <w:rPr>
      <w:sz w:val="18"/>
      <w:szCs w:val="18"/>
      <w:lang w:val="zh-CN"/>
    </w:rPr>
  </w:style>
  <w:style w:type="paragraph" w:styleId="1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5">
    <w:name w:val="Title"/>
    <w:basedOn w:val="2"/>
    <w:next w:val="3"/>
    <w:link w:val="28"/>
    <w:qFormat/>
    <w:uiPriority w:val="10"/>
    <w:pPr>
      <w:keepNext w:val="0"/>
      <w:keepLines w:val="0"/>
      <w:spacing w:before="240" w:after="60" w:line="240" w:lineRule="auto"/>
      <w:jc w:val="center"/>
    </w:pPr>
    <w:rPr>
      <w:rFonts w:ascii="Cambria" w:hAnsi="Cambria"/>
      <w:kern w:val="0"/>
      <w:sz w:val="32"/>
      <w:szCs w:val="32"/>
    </w:rPr>
  </w:style>
  <w:style w:type="paragraph" w:styleId="16">
    <w:name w:val="annotation subject"/>
    <w:basedOn w:val="7"/>
    <w:next w:val="7"/>
    <w:uiPriority w:val="0"/>
    <w:rPr>
      <w:b/>
      <w:bCs/>
    </w:rPr>
  </w:style>
  <w:style w:type="table" w:styleId="18">
    <w:name w:val="Table Grid"/>
    <w:basedOn w:val="1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0">
    <w:name w:val="page number"/>
    <w:basedOn w:val="19"/>
    <w:qFormat/>
    <w:uiPriority w:val="0"/>
  </w:style>
  <w:style w:type="character" w:styleId="21">
    <w:name w:val="annotation reference"/>
    <w:qFormat/>
    <w:uiPriority w:val="0"/>
    <w:rPr>
      <w:sz w:val="21"/>
      <w:szCs w:val="21"/>
    </w:rPr>
  </w:style>
  <w:style w:type="character" w:styleId="22">
    <w:name w:val="footnote reference"/>
    <w:qFormat/>
    <w:uiPriority w:val="0"/>
    <w:rPr>
      <w:vertAlign w:val="superscript"/>
    </w:rPr>
  </w:style>
  <w:style w:type="character" w:customStyle="1" w:styleId="23">
    <w:name w:val="标题 3 Char"/>
    <w:link w:val="4"/>
    <w:qFormat/>
    <w:uiPriority w:val="9"/>
    <w:rPr>
      <w:b/>
      <w:bCs/>
      <w:sz w:val="32"/>
      <w:szCs w:val="32"/>
    </w:rPr>
  </w:style>
  <w:style w:type="character" w:customStyle="1" w:styleId="24">
    <w:name w:val="CODE"/>
    <w:qFormat/>
    <w:uiPriority w:val="0"/>
    <w:rPr>
      <w:rFonts w:ascii="Courier New" w:hAnsi="Courier New"/>
      <w:spacing w:val="-10"/>
      <w:sz w:val="20"/>
      <w:lang w:val="en-GB" w:eastAsia="zh-CN"/>
    </w:rPr>
  </w:style>
  <w:style w:type="character" w:customStyle="1" w:styleId="25">
    <w:name w:val="副标题 Char"/>
    <w:link w:val="12"/>
    <w:qFormat/>
    <w:uiPriority w:val="0"/>
    <w:rPr>
      <w:rFonts w:ascii="Cambria" w:hAnsi="Cambria" w:eastAsia="宋体" w:cs="Times New Roman"/>
      <w:b/>
      <w:kern w:val="28"/>
      <w:sz w:val="24"/>
      <w:szCs w:val="32"/>
    </w:rPr>
  </w:style>
  <w:style w:type="character" w:customStyle="1" w:styleId="26">
    <w:name w:val="标题 1 Char"/>
    <w:link w:val="2"/>
    <w:qFormat/>
    <w:uiPriority w:val="9"/>
    <w:rPr>
      <w:b/>
      <w:bCs/>
      <w:kern w:val="44"/>
      <w:sz w:val="44"/>
      <w:szCs w:val="44"/>
    </w:rPr>
  </w:style>
  <w:style w:type="character" w:customStyle="1" w:styleId="27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8">
    <w:name w:val="标题 Char"/>
    <w:link w:val="15"/>
    <w:qFormat/>
    <w:uiPriority w:val="10"/>
    <w:rPr>
      <w:rFonts w:ascii="Cambria" w:hAnsi="Cambria" w:cs="Times New Roman"/>
      <w:b/>
      <w:bCs/>
      <w:sz w:val="32"/>
      <w:szCs w:val="32"/>
    </w:rPr>
  </w:style>
  <w:style w:type="paragraph" w:customStyle="1" w:styleId="29">
    <w:name w:val="xl33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30">
    <w:name w:val="Char Char Char Char Char Char1 Char Char Char"/>
    <w:basedOn w:val="1"/>
    <w:qFormat/>
    <w:uiPriority w:val="0"/>
    <w:pPr>
      <w:autoSpaceDE w:val="0"/>
      <w:autoSpaceDN w:val="0"/>
      <w:adjustRightInd w:val="0"/>
      <w:jc w:val="left"/>
      <w:textAlignment w:val="baseline"/>
    </w:pPr>
    <w:rPr>
      <w:rFonts w:ascii="宋体"/>
      <w:kern w:val="0"/>
      <w:sz w:val="34"/>
    </w:rPr>
  </w:style>
  <w:style w:type="paragraph" w:customStyle="1" w:styleId="31">
    <w:name w:val="次标题"/>
    <w:basedOn w:val="4"/>
    <w:next w:val="1"/>
    <w:qFormat/>
    <w:uiPriority w:val="0"/>
    <w:pPr>
      <w:jc w:val="left"/>
    </w:pPr>
    <w:rPr>
      <w:rFonts w:ascii="宋体" w:hAnsi="宋体"/>
      <w:sz w:val="24"/>
      <w:szCs w:val="24"/>
    </w:rPr>
  </w:style>
  <w:style w:type="paragraph" w:customStyle="1" w:styleId="32">
    <w:name w:val="Char"/>
    <w:basedOn w:val="1"/>
    <w:qFormat/>
    <w:uiPriority w:val="0"/>
  </w:style>
  <w:style w:type="character" w:customStyle="1" w:styleId="33">
    <w:name w:val="标题 4 Char"/>
    <w:link w:val="5"/>
    <w:semiHidden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paragraph" w:customStyle="1" w:styleId="34">
    <w:name w:val="XBRL标题1"/>
    <w:basedOn w:val="2"/>
    <w:next w:val="3"/>
    <w:qFormat/>
    <w:uiPriority w:val="0"/>
    <w:pPr>
      <w:spacing w:beforeLines="50" w:afterLines="50" w:line="240" w:lineRule="auto"/>
      <w:jc w:val="center"/>
    </w:pPr>
    <w:rPr>
      <w:rFonts w:ascii="Cambria" w:hAnsi="Cambria"/>
      <w:sz w:val="28"/>
    </w:rPr>
  </w:style>
  <w:style w:type="paragraph" w:customStyle="1" w:styleId="35">
    <w:name w:val="XBRL标题2"/>
    <w:basedOn w:val="12"/>
    <w:next w:val="5"/>
    <w:qFormat/>
    <w:uiPriority w:val="0"/>
    <w:pPr>
      <w:spacing w:beforeLines="50" w:afterLines="50" w:line="240" w:lineRule="auto"/>
    </w:pPr>
    <w:rPr>
      <w:bCs/>
    </w:rPr>
  </w:style>
  <w:style w:type="paragraph" w:customStyle="1" w:styleId="36">
    <w:name w:val="XBRL标题3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7">
    <w:name w:val="XBRL标题4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8">
    <w:name w:val="XBRL标题5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39">
    <w:name w:val="XBRL标题6"/>
    <w:basedOn w:val="12"/>
    <w:next w:val="5"/>
    <w:qFormat/>
    <w:uiPriority w:val="0"/>
    <w:pPr>
      <w:spacing w:beforeLines="50" w:afterLines="50" w:line="240" w:lineRule="auto"/>
      <w:outlineLvl w:val="9"/>
    </w:pPr>
    <w:rPr>
      <w:bCs/>
    </w:rPr>
  </w:style>
  <w:style w:type="paragraph" w:customStyle="1" w:styleId="40">
    <w:name w:val="XBRLTitle1"/>
    <w:basedOn w:val="2"/>
    <w:next w:val="3"/>
    <w:qFormat/>
    <w:uiPriority w:val="0"/>
    <w:pPr>
      <w:numPr>
        <w:ilvl w:val="0"/>
        <w:numId w:val="1"/>
      </w:numPr>
      <w:spacing w:before="156" w:beforeLines="50" w:after="156" w:afterLines="50" w:line="240" w:lineRule="auto"/>
      <w:jc w:val="left"/>
    </w:pPr>
    <w:rPr>
      <w:rFonts w:ascii="Cambria" w:hAnsi="Cambria"/>
      <w:sz w:val="28"/>
    </w:rPr>
  </w:style>
  <w:style w:type="paragraph" w:customStyle="1" w:styleId="41">
    <w:name w:val="XBRLTitle2"/>
    <w:basedOn w:val="12"/>
    <w:next w:val="5"/>
    <w:qFormat/>
    <w:uiPriority w:val="0"/>
    <w:pPr>
      <w:numPr>
        <w:ilvl w:val="1"/>
        <w:numId w:val="2"/>
      </w:numPr>
      <w:spacing w:beforeLines="50" w:afterLines="50" w:line="240" w:lineRule="auto"/>
    </w:pPr>
    <w:rPr>
      <w:bCs/>
    </w:rPr>
  </w:style>
  <w:style w:type="paragraph" w:customStyle="1" w:styleId="42">
    <w:name w:val="XBRLTitle3"/>
    <w:basedOn w:val="12"/>
    <w:next w:val="5"/>
    <w:qFormat/>
    <w:uiPriority w:val="0"/>
    <w:pPr>
      <w:numPr>
        <w:ilvl w:val="2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3">
    <w:name w:val="XBRLTitle4"/>
    <w:basedOn w:val="12"/>
    <w:next w:val="5"/>
    <w:qFormat/>
    <w:uiPriority w:val="0"/>
    <w:pPr>
      <w:numPr>
        <w:ilvl w:val="3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4">
    <w:name w:val="XBRLTitle5"/>
    <w:basedOn w:val="12"/>
    <w:next w:val="5"/>
    <w:qFormat/>
    <w:uiPriority w:val="0"/>
    <w:pPr>
      <w:numPr>
        <w:ilvl w:val="4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5">
    <w:name w:val="XBRLTitle6"/>
    <w:basedOn w:val="12"/>
    <w:next w:val="5"/>
    <w:qFormat/>
    <w:uiPriority w:val="0"/>
    <w:pPr>
      <w:numPr>
        <w:ilvl w:val="5"/>
        <w:numId w:val="2"/>
      </w:numPr>
      <w:spacing w:beforeLines="50" w:afterLines="50" w:line="240" w:lineRule="auto"/>
      <w:outlineLvl w:val="9"/>
    </w:pPr>
    <w:rPr>
      <w:bCs/>
    </w:rPr>
  </w:style>
  <w:style w:type="paragraph" w:customStyle="1" w:styleId="4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47">
    <w:name w:val="脚注文本 Char"/>
    <w:link w:val="13"/>
    <w:qFormat/>
    <w:uiPriority w:val="0"/>
    <w:rPr>
      <w:kern w:val="2"/>
      <w:sz w:val="18"/>
      <w:szCs w:val="18"/>
    </w:rPr>
  </w:style>
  <w:style w:type="character" w:customStyle="1" w:styleId="48">
    <w:name w:val="日期 Char"/>
    <w:link w:val="8"/>
    <w:qFormat/>
    <w:uiPriority w:val="0"/>
    <w:rPr>
      <w:rFonts w:ascii="宋体"/>
      <w:kern w:val="2"/>
      <w:sz w:val="32"/>
    </w:rPr>
  </w:style>
  <w:style w:type="paragraph" w:styleId="49">
    <w:name w:val="List Paragraph"/>
    <w:basedOn w:val="1"/>
    <w:qFormat/>
    <w:uiPriority w:val="34"/>
    <w:pPr>
      <w:ind w:firstLine="420" w:firstLineChars="200"/>
    </w:pPr>
  </w:style>
  <w:style w:type="paragraph" w:customStyle="1" w:styleId="50">
    <w:name w:val="Char1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6C7D2-5665-42E1-93B2-44FAC94E18E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1238</Words>
  <Characters>1829</Characters>
  <Lines>15</Lines>
  <Paragraphs>4</Paragraphs>
  <TotalTime>0</TotalTime>
  <ScaleCrop>false</ScaleCrop>
  <LinksUpToDate>false</LinksUpToDate>
  <CharactersWithSpaces>1884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2024-01-22T00:58:00Z</dcterms:created>
  <dc:creator>yss</dc:creator>
  <cp:lastModifiedBy>Edric~</cp:lastModifiedBy>
  <cp:lastPrinted>2411-12-31T15:59:00Z</cp:lastPrinted>
  <dcterms:modified xsi:type="dcterms:W3CDTF">2024-04-09T02:51:22Z</dcterms:modified>
  <dc:title>gongGaoMingCheng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Generator">
    <vt:lpwstr>NPOI</vt:lpwstr>
  </property>
  <property fmtid="{D5CDD505-2E9C-101B-9397-08002B2CF9AE}" pid="4" name="Generator Version">
    <vt:lpwstr>2.2.1</vt:lpwstr>
  </property>
  <property fmtid="{D5CDD505-2E9C-101B-9397-08002B2CF9AE}" pid="5" name="ICV">
    <vt:lpwstr>255A44BD5E654EA8AFF6F48B033F5D33</vt:lpwstr>
  </property>
</Properties>
</file>