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四川银行定开系列6个月16号净值型理财产品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四川银行定开系列6个月16号净值型理财产品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151,445,732.00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7.50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1,066,859.49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1,273,585.90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153,809,510.97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128,486,703.35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82.36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128,486,703.35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82.36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27,011,414.88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17.31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377,108.27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0.24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127,036.67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156,002,263.17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27,011,414.88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17.56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23青岛农商行CD172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14,982,916.39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10,388,397.26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20香城投资MTN002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10,366,005.46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10,150,606.56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10,141,349.73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9,952,880.84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22峨眉01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9,266,584.93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21攀国投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8,433,234.97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8,347,835.62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5.43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21攀国投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ascii="宋体" w:hAnsi="宋体"/>
          <w:szCs w:val="21"/>
        </w:rPr>
        <w:t>21天投Y2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242C57D9"/>
    <w:rsid w:val="244A7896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302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2024-04-12T08:27:50Z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A7F85C98DC164AEDA2B74DF59ABEA924</vt:lpwstr>
  </property>
</Properties>
</file>