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四川银行定开系列6个月7号净值型理财产品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四川银行定开系列6个月7号净值型理财产品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2022-01-18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165,395,048.00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7.87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620,362.45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1,402,561.60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167,978,174.14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1.0787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156,455,264.24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156,455,264.24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4,001,500.32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10,717,189.92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415,266.40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171,589,220.88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24龙驰01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15,328,952.06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12,599,736.99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11,404,604.11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10,657,246.58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10,541,506.85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10,293,408.22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24吉林银行CD007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9,884,948.74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24天津银行CD123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9,851,019.64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24恒丰银行CD195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8,885,908.96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8,349,731.15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4.97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35E1CD3"/>
    <w:rsid w:val="40402B52"/>
    <w:rsid w:val="66E8447E"/>
    <w:rsid w:val="6D4F197B"/>
    <w:rsid w:val="6FC0391A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6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2024-07-16T08:41:36Z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AEF6C6A418C649D6A55F5B452926AE20</vt:lpwstr>
  </property>
</Properties>
</file>