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764E3" w:rsidRDefault="00C764E3">
      <w:pPr>
        <w:tabs>
          <w:tab w:val="left" w:pos="1890"/>
        </w:tabs>
        <w:rPr>
          <w:sz w:val="48"/>
        </w:rPr>
      </w:pPr>
    </w:p>
    <w:p w:rsidR="00C764E3" w:rsidRDefault="00C764E3">
      <w:pPr>
        <w:rPr>
          <w:sz w:val="48"/>
        </w:rPr>
      </w:pPr>
    </w:p>
    <w:p w:rsidR="00C764E3" w:rsidRDefault="000D227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四川银行定开系列</w:t>
      </w:r>
      <w:r>
        <w:rPr>
          <w:rFonts w:ascii="宋体" w:hAnsi="宋体"/>
          <w:b/>
          <w:bCs/>
          <w:sz w:val="48"/>
          <w:szCs w:val="30"/>
        </w:rPr>
        <w:t>3</w:t>
      </w:r>
      <w:r>
        <w:rPr>
          <w:rFonts w:ascii="宋体" w:hAnsi="宋体"/>
          <w:b/>
          <w:bCs/>
          <w:sz w:val="48"/>
          <w:szCs w:val="30"/>
        </w:rPr>
        <w:t>个月</w:t>
      </w:r>
      <w:r>
        <w:rPr>
          <w:rFonts w:ascii="宋体" w:hAnsi="宋体"/>
          <w:b/>
          <w:bCs/>
          <w:sz w:val="48"/>
          <w:szCs w:val="30"/>
        </w:rPr>
        <w:t>1</w:t>
      </w:r>
      <w:r>
        <w:rPr>
          <w:rFonts w:ascii="宋体" w:hAnsi="宋体"/>
          <w:b/>
          <w:bCs/>
          <w:sz w:val="48"/>
          <w:szCs w:val="30"/>
        </w:rPr>
        <w:t>号净值型理财产品</w:t>
      </w:r>
      <w:r>
        <w:rPr>
          <w:rFonts w:ascii="宋体" w:hAnsi="宋体"/>
          <w:b/>
          <w:bCs/>
          <w:sz w:val="48"/>
          <w:szCs w:val="30"/>
        </w:rPr>
        <w:t xml:space="preserve"> </w:t>
      </w:r>
    </w:p>
    <w:p w:rsidR="00C764E3" w:rsidRDefault="000D227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</w:t>
      </w:r>
      <w:r>
        <w:rPr>
          <w:rFonts w:ascii="宋体" w:hAnsi="宋体"/>
          <w:b/>
          <w:bCs/>
          <w:sz w:val="48"/>
          <w:szCs w:val="30"/>
        </w:rPr>
        <w:t>年第</w:t>
      </w:r>
      <w:r>
        <w:rPr>
          <w:rFonts w:ascii="宋体" w:hAnsi="宋体"/>
          <w:b/>
          <w:bCs/>
          <w:sz w:val="48"/>
          <w:szCs w:val="30"/>
        </w:rPr>
        <w:t>4</w:t>
      </w:r>
      <w:r>
        <w:rPr>
          <w:rFonts w:ascii="宋体" w:hAnsi="宋体"/>
          <w:b/>
          <w:bCs/>
          <w:sz w:val="48"/>
          <w:szCs w:val="30"/>
        </w:rPr>
        <w:t>季度</w:t>
      </w:r>
      <w:r>
        <w:rPr>
          <w:rFonts w:ascii="宋体" w:hAnsi="宋体" w:hint="eastAsia"/>
          <w:b/>
          <w:bCs/>
          <w:sz w:val="48"/>
          <w:szCs w:val="30"/>
        </w:rPr>
        <w:t>报告</w:t>
      </w:r>
    </w:p>
    <w:p w:rsidR="00C764E3" w:rsidRDefault="00C764E3">
      <w:pPr>
        <w:jc w:val="center"/>
        <w:rPr>
          <w:rFonts w:ascii="宋体" w:hAnsi="宋体"/>
          <w:b/>
          <w:bCs/>
          <w:sz w:val="28"/>
          <w:szCs w:val="30"/>
        </w:rPr>
      </w:pPr>
    </w:p>
    <w:p w:rsidR="00C764E3" w:rsidRDefault="00C764E3">
      <w:pPr>
        <w:jc w:val="center"/>
        <w:rPr>
          <w:rFonts w:ascii="宋体" w:hAnsi="宋体"/>
          <w:sz w:val="28"/>
          <w:szCs w:val="30"/>
        </w:rPr>
      </w:pPr>
    </w:p>
    <w:p w:rsidR="00C764E3" w:rsidRDefault="00C764E3">
      <w:pPr>
        <w:jc w:val="center"/>
        <w:rPr>
          <w:rFonts w:ascii="宋体" w:hAnsi="宋体"/>
          <w:sz w:val="28"/>
          <w:szCs w:val="30"/>
        </w:rPr>
      </w:pPr>
    </w:p>
    <w:p w:rsidR="00C764E3" w:rsidRDefault="00C764E3">
      <w:pPr>
        <w:jc w:val="center"/>
        <w:rPr>
          <w:rFonts w:ascii="宋体" w:hAnsi="宋体"/>
          <w:sz w:val="28"/>
          <w:szCs w:val="30"/>
        </w:rPr>
      </w:pPr>
    </w:p>
    <w:p w:rsidR="00C764E3" w:rsidRDefault="00C764E3">
      <w:pPr>
        <w:jc w:val="center"/>
        <w:rPr>
          <w:rFonts w:ascii="宋体" w:hAnsi="宋体"/>
          <w:sz w:val="28"/>
          <w:szCs w:val="30"/>
        </w:rPr>
      </w:pPr>
    </w:p>
    <w:p w:rsidR="00C764E3" w:rsidRDefault="00C764E3">
      <w:pPr>
        <w:jc w:val="center"/>
        <w:rPr>
          <w:rFonts w:ascii="宋体" w:hAnsi="宋体"/>
          <w:sz w:val="28"/>
          <w:szCs w:val="30"/>
        </w:rPr>
      </w:pPr>
    </w:p>
    <w:p w:rsidR="00C764E3" w:rsidRDefault="00C764E3">
      <w:pPr>
        <w:jc w:val="center"/>
        <w:rPr>
          <w:rFonts w:ascii="宋体" w:hAnsi="宋体"/>
          <w:sz w:val="28"/>
          <w:szCs w:val="30"/>
        </w:rPr>
      </w:pPr>
    </w:p>
    <w:p w:rsidR="00C764E3" w:rsidRDefault="00C764E3">
      <w:pPr>
        <w:jc w:val="center"/>
        <w:rPr>
          <w:rFonts w:ascii="宋体" w:hAnsi="宋体"/>
          <w:sz w:val="28"/>
          <w:szCs w:val="30"/>
        </w:rPr>
      </w:pPr>
    </w:p>
    <w:p w:rsidR="00C764E3" w:rsidRDefault="00C764E3">
      <w:pPr>
        <w:jc w:val="center"/>
        <w:rPr>
          <w:rFonts w:ascii="宋体" w:hAnsi="宋体"/>
          <w:sz w:val="28"/>
          <w:szCs w:val="30"/>
        </w:rPr>
      </w:pPr>
    </w:p>
    <w:p w:rsidR="00C764E3" w:rsidRDefault="00C764E3">
      <w:pPr>
        <w:jc w:val="center"/>
        <w:rPr>
          <w:rFonts w:ascii="宋体" w:hAnsi="宋体"/>
          <w:sz w:val="28"/>
          <w:szCs w:val="30"/>
        </w:rPr>
      </w:pPr>
    </w:p>
    <w:p w:rsidR="00C764E3" w:rsidRDefault="00C764E3">
      <w:pPr>
        <w:jc w:val="center"/>
        <w:rPr>
          <w:rFonts w:ascii="宋体" w:hAnsi="宋体"/>
          <w:sz w:val="28"/>
          <w:szCs w:val="30"/>
        </w:rPr>
      </w:pPr>
    </w:p>
    <w:p w:rsidR="00C764E3" w:rsidRDefault="00C764E3">
      <w:pPr>
        <w:jc w:val="center"/>
        <w:rPr>
          <w:rFonts w:ascii="宋体" w:hAnsi="宋体"/>
          <w:sz w:val="28"/>
          <w:szCs w:val="30"/>
        </w:rPr>
      </w:pPr>
    </w:p>
    <w:p w:rsidR="00C764E3" w:rsidRDefault="000D227C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 w:rsidR="00C764E3" w:rsidRDefault="000D227C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 w:rsidR="00C764E3" w:rsidRDefault="00C764E3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C764E3" w:rsidRDefault="00C764E3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C764E3" w:rsidRDefault="00C764E3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C764E3" w:rsidRDefault="00C764E3">
      <w:pPr>
        <w:rPr>
          <w:rFonts w:ascii="宋体" w:hAnsi="宋体"/>
          <w:sz w:val="28"/>
          <w:szCs w:val="30"/>
        </w:rPr>
      </w:pPr>
    </w:p>
    <w:p w:rsidR="00C764E3" w:rsidRDefault="00C764E3">
      <w:pPr>
        <w:jc w:val="center"/>
        <w:rPr>
          <w:rFonts w:ascii="宋体" w:hAnsi="宋体"/>
          <w:b/>
          <w:bCs/>
          <w:sz w:val="28"/>
          <w:szCs w:val="30"/>
        </w:rPr>
      </w:pPr>
    </w:p>
    <w:p w:rsidR="00C764E3" w:rsidRDefault="000D227C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C764E3" w:rsidRDefault="000D227C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C764E3" w:rsidRDefault="000D227C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 w:rsidR="00C764E3" w:rsidRDefault="000D227C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C764E3" w:rsidRDefault="000D227C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</w:t>
      </w:r>
      <w:r>
        <w:rPr>
          <w:rFonts w:ascii="宋体" w:hAnsi="宋体" w:hint="eastAsia"/>
          <w:szCs w:val="21"/>
        </w:rPr>
        <w:t>2024-10-01</w:t>
      </w:r>
      <w:r>
        <w:rPr>
          <w:rFonts w:ascii="宋体" w:hAnsi="宋体" w:hint="eastAsia"/>
          <w:szCs w:val="21"/>
        </w:rPr>
        <w:t>起至</w:t>
      </w:r>
      <w:r>
        <w:rPr>
          <w:rFonts w:ascii="宋体" w:hAnsi="宋体" w:hint="eastAsia"/>
          <w:szCs w:val="21"/>
        </w:rPr>
        <w:t>2024-12-31</w:t>
      </w:r>
      <w:r>
        <w:rPr>
          <w:rFonts w:ascii="宋体" w:hAnsi="宋体"/>
          <w:szCs w:val="21"/>
        </w:rPr>
        <w:t>止。</w:t>
      </w:r>
    </w:p>
    <w:p w:rsidR="00C764E3" w:rsidRDefault="000D227C">
      <w:pPr>
        <w:pStyle w:val="XBRLTitle1"/>
      </w:pPr>
      <w:r>
        <w:rPr>
          <w:rFonts w:hint="eastAsia"/>
        </w:rPr>
        <w:t>产品</w:t>
      </w:r>
      <w:r>
        <w:rPr>
          <w:rFonts w:hint="eastAsia"/>
        </w:rPr>
        <w:t>基本情况</w:t>
      </w:r>
      <w:r>
        <w:rPr>
          <w:rFonts w:hint="eastAsia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C764E3">
        <w:trPr>
          <w:trHeight w:val="304"/>
        </w:trPr>
        <w:tc>
          <w:tcPr>
            <w:tcW w:w="3838" w:type="dxa"/>
            <w:vAlign w:val="center"/>
          </w:tcPr>
          <w:p w:rsidR="00C764E3" w:rsidRDefault="000D227C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C764E3" w:rsidRDefault="000D227C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信息</w:t>
            </w:r>
          </w:p>
        </w:tc>
      </w:tr>
      <w:tr w:rsidR="00C764E3">
        <w:trPr>
          <w:trHeight w:val="304"/>
        </w:trPr>
        <w:tc>
          <w:tcPr>
            <w:tcW w:w="3838" w:type="dxa"/>
            <w:vAlign w:val="center"/>
          </w:tcPr>
          <w:p w:rsidR="00C764E3" w:rsidRDefault="000D227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:rsidR="00C764E3" w:rsidRDefault="000D227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四川银行定开系列</w:t>
            </w: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 w:hint="eastAsia"/>
              </w:rPr>
              <w:t>个月</w:t>
            </w: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号净值型理财产品</w:t>
            </w:r>
          </w:p>
        </w:tc>
      </w:tr>
      <w:tr w:rsidR="00C764E3">
        <w:trPr>
          <w:trHeight w:val="304"/>
        </w:trPr>
        <w:tc>
          <w:tcPr>
            <w:tcW w:w="3838" w:type="dxa"/>
            <w:vAlign w:val="center"/>
          </w:tcPr>
          <w:p w:rsidR="00C764E3" w:rsidRDefault="000D22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:rsidR="00C764E3" w:rsidRDefault="000D227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C1438122000016</w:t>
            </w:r>
          </w:p>
        </w:tc>
      </w:tr>
      <w:tr w:rsidR="00C764E3">
        <w:trPr>
          <w:trHeight w:val="304"/>
        </w:trPr>
        <w:tc>
          <w:tcPr>
            <w:tcW w:w="3838" w:type="dxa"/>
            <w:vAlign w:val="center"/>
          </w:tcPr>
          <w:p w:rsidR="00C764E3" w:rsidRDefault="000D227C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:rsidR="00C764E3" w:rsidRDefault="000D227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四川银行股份有限公司</w:t>
            </w:r>
          </w:p>
        </w:tc>
      </w:tr>
      <w:tr w:rsidR="00C764E3">
        <w:trPr>
          <w:trHeight w:val="304"/>
        </w:trPr>
        <w:tc>
          <w:tcPr>
            <w:tcW w:w="3838" w:type="dxa"/>
            <w:vAlign w:val="center"/>
          </w:tcPr>
          <w:p w:rsidR="00C764E3" w:rsidRDefault="000D227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C764E3" w:rsidRDefault="000D227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 w:rsidR="00C764E3">
        <w:trPr>
          <w:trHeight w:val="304"/>
        </w:trPr>
        <w:tc>
          <w:tcPr>
            <w:tcW w:w="3838" w:type="dxa"/>
            <w:vAlign w:val="center"/>
          </w:tcPr>
          <w:p w:rsidR="00C764E3" w:rsidRDefault="000D227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:rsidR="00C764E3" w:rsidRDefault="000D227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 w:rsidR="00C764E3">
        <w:trPr>
          <w:trHeight w:val="304"/>
        </w:trPr>
        <w:tc>
          <w:tcPr>
            <w:tcW w:w="3838" w:type="dxa"/>
            <w:vAlign w:val="center"/>
          </w:tcPr>
          <w:p w:rsidR="00C764E3" w:rsidRDefault="000D227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:rsidR="00C764E3" w:rsidRDefault="000D227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2022-04-07</w:t>
            </w:r>
          </w:p>
        </w:tc>
      </w:tr>
      <w:tr w:rsidR="00C764E3">
        <w:trPr>
          <w:trHeight w:val="304"/>
        </w:trPr>
        <w:tc>
          <w:tcPr>
            <w:tcW w:w="3838" w:type="dxa"/>
            <w:vAlign w:val="center"/>
          </w:tcPr>
          <w:p w:rsidR="00C764E3" w:rsidRDefault="000D227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:rsidR="00C764E3" w:rsidRDefault="000D227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9999-12-31</w:t>
            </w:r>
          </w:p>
        </w:tc>
      </w:tr>
      <w:tr w:rsidR="00C764E3">
        <w:trPr>
          <w:trHeight w:val="321"/>
        </w:trPr>
        <w:tc>
          <w:tcPr>
            <w:tcW w:w="3838" w:type="dxa"/>
            <w:vAlign w:val="center"/>
          </w:tcPr>
          <w:p w:rsidR="00C764E3" w:rsidRDefault="000D227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:rsidR="00C764E3" w:rsidRDefault="000D227C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184,078,700.00</w:t>
            </w:r>
            <w:bookmarkEnd w:id="0"/>
          </w:p>
        </w:tc>
      </w:tr>
      <w:tr w:rsidR="00C764E3">
        <w:trPr>
          <w:trHeight w:val="304"/>
        </w:trPr>
        <w:tc>
          <w:tcPr>
            <w:tcW w:w="3838" w:type="dxa"/>
            <w:vAlign w:val="center"/>
          </w:tcPr>
          <w:p w:rsidR="00C764E3" w:rsidRDefault="000D227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:rsidR="00C764E3" w:rsidRDefault="000D227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[2.5%-3.5%]/</w:t>
            </w:r>
            <w:r>
              <w:rPr>
                <w:rFonts w:ascii="宋体" w:hAnsi="宋体"/>
              </w:rPr>
              <w:t>年</w:t>
            </w:r>
          </w:p>
        </w:tc>
      </w:tr>
      <w:tr w:rsidR="00C764E3">
        <w:trPr>
          <w:trHeight w:val="304"/>
        </w:trPr>
        <w:tc>
          <w:tcPr>
            <w:tcW w:w="3838" w:type="dxa"/>
            <w:vAlign w:val="center"/>
          </w:tcPr>
          <w:p w:rsidR="00C764E3" w:rsidRDefault="000D227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期末杠杆水平</w:t>
            </w:r>
          </w:p>
        </w:tc>
        <w:tc>
          <w:tcPr>
            <w:tcW w:w="5027" w:type="dxa"/>
            <w:vAlign w:val="center"/>
          </w:tcPr>
          <w:p w:rsidR="00C764E3" w:rsidRDefault="000D227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102.48%</w:t>
            </w:r>
          </w:p>
        </w:tc>
      </w:tr>
      <w:tr w:rsidR="00C764E3">
        <w:trPr>
          <w:trHeight w:val="304"/>
        </w:trPr>
        <w:tc>
          <w:tcPr>
            <w:tcW w:w="3838" w:type="dxa"/>
            <w:vAlign w:val="center"/>
          </w:tcPr>
          <w:p w:rsidR="00C764E3" w:rsidRDefault="000D227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C764E3" w:rsidRDefault="000D227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 w:rsidR="00C764E3">
        <w:trPr>
          <w:trHeight w:val="304"/>
        </w:trPr>
        <w:tc>
          <w:tcPr>
            <w:tcW w:w="3838" w:type="dxa"/>
            <w:vAlign w:val="center"/>
          </w:tcPr>
          <w:p w:rsidR="00C764E3" w:rsidRDefault="000D227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托管户户名</w:t>
            </w:r>
          </w:p>
        </w:tc>
        <w:tc>
          <w:tcPr>
            <w:tcW w:w="5027" w:type="dxa"/>
            <w:vAlign w:val="center"/>
          </w:tcPr>
          <w:p w:rsidR="00C764E3" w:rsidRDefault="000D227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</w:t>
            </w:r>
            <w:r>
              <w:rPr>
                <w:rFonts w:ascii="宋体" w:hAnsi="宋体" w:hint="eastAsia"/>
              </w:rPr>
              <w:t>-</w:t>
            </w:r>
            <w:r>
              <w:rPr>
                <w:rFonts w:ascii="宋体" w:hAnsi="宋体" w:hint="eastAsia"/>
              </w:rPr>
              <w:t>四川银行定开系列</w:t>
            </w: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 w:hint="eastAsia"/>
              </w:rPr>
              <w:t>个月</w:t>
            </w: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号净值型理财产品</w:t>
            </w:r>
          </w:p>
        </w:tc>
      </w:tr>
      <w:tr w:rsidR="00C764E3">
        <w:trPr>
          <w:trHeight w:val="304"/>
        </w:trPr>
        <w:tc>
          <w:tcPr>
            <w:tcW w:w="3838" w:type="dxa"/>
            <w:vAlign w:val="center"/>
          </w:tcPr>
          <w:p w:rsidR="00C764E3" w:rsidRDefault="000D227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托管户账户账号</w:t>
            </w:r>
          </w:p>
        </w:tc>
        <w:tc>
          <w:tcPr>
            <w:tcW w:w="5027" w:type="dxa"/>
            <w:vAlign w:val="center"/>
          </w:tcPr>
          <w:p w:rsidR="00C764E3" w:rsidRDefault="000D227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128912158810724</w:t>
            </w:r>
          </w:p>
        </w:tc>
      </w:tr>
      <w:tr w:rsidR="00C764E3">
        <w:trPr>
          <w:trHeight w:val="304"/>
        </w:trPr>
        <w:tc>
          <w:tcPr>
            <w:tcW w:w="3838" w:type="dxa"/>
            <w:vAlign w:val="center"/>
          </w:tcPr>
          <w:p w:rsidR="00C764E3" w:rsidRDefault="000D227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托管户开户行</w:t>
            </w:r>
          </w:p>
        </w:tc>
        <w:tc>
          <w:tcPr>
            <w:tcW w:w="5027" w:type="dxa"/>
            <w:vAlign w:val="center"/>
          </w:tcPr>
          <w:p w:rsidR="00C764E3" w:rsidRDefault="000D227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招商银行成都分行营业部</w:t>
            </w:r>
          </w:p>
        </w:tc>
      </w:tr>
    </w:tbl>
    <w:p w:rsidR="00C764E3" w:rsidRDefault="000D227C">
      <w:pPr>
        <w:pStyle w:val="XBRLTitle1"/>
      </w:pPr>
      <w:r>
        <w:rPr>
          <w:rFonts w:hint="eastAsia"/>
        </w:rPr>
        <w:t>产品</w:t>
      </w:r>
      <w:r>
        <w:rPr>
          <w:rFonts w:hint="eastAsia"/>
        </w:rPr>
        <w:t>收益</w:t>
      </w:r>
      <w:r>
        <w:rPr>
          <w:rFonts w:hint="eastAsia"/>
        </w:rPr>
        <w:t>表现</w:t>
      </w:r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3"/>
        <w:gridCol w:w="5103"/>
      </w:tblGrid>
      <w:tr w:rsidR="00C764E3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C764E3" w:rsidRDefault="000D227C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C764E3" w:rsidRDefault="000D227C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C764E3">
        <w:trPr>
          <w:trHeight w:val="556"/>
        </w:trPr>
        <w:tc>
          <w:tcPr>
            <w:tcW w:w="3853" w:type="dxa"/>
            <w:vAlign w:val="center"/>
          </w:tcPr>
          <w:p w:rsidR="00C764E3" w:rsidRDefault="000D22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ascii="宋体" w:hAnsi="宋体" w:hint="eastAsia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0.62</w:t>
            </w:r>
          </w:p>
        </w:tc>
      </w:tr>
      <w:tr w:rsidR="00C764E3">
        <w:trPr>
          <w:trHeight w:val="556"/>
        </w:trPr>
        <w:tc>
          <w:tcPr>
            <w:tcW w:w="3853" w:type="dxa"/>
            <w:vAlign w:val="center"/>
          </w:tcPr>
          <w:p w:rsidR="00C764E3" w:rsidRDefault="000D227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8.83</w:t>
            </w:r>
            <w:bookmarkStart w:id="1" w:name="OLE_LINK4"/>
            <w:bookmarkStart w:id="2" w:name="OLE_LINK7"/>
            <w:bookmarkEnd w:id="1"/>
            <w:bookmarkEnd w:id="2"/>
          </w:p>
        </w:tc>
      </w:tr>
    </w:tbl>
    <w:p w:rsidR="00C764E3" w:rsidRDefault="000D227C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 xml:space="preserve"> </w:t>
      </w:r>
    </w:p>
    <w:p w:rsidR="00C764E3" w:rsidRDefault="000D227C">
      <w:pPr>
        <w:pStyle w:val="XBRLTitle1"/>
      </w:pPr>
      <w:r>
        <w:rPr>
          <w:rFonts w:hint="eastAsia"/>
        </w:rPr>
        <w:t>主要财务指标</w:t>
      </w:r>
    </w:p>
    <w:p w:rsidR="00C764E3" w:rsidRDefault="000D227C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C764E3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C764E3" w:rsidRDefault="000D227C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C764E3" w:rsidRDefault="000D227C"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>至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2024-12-31</w:t>
            </w:r>
          </w:p>
        </w:tc>
      </w:tr>
      <w:tr w:rsidR="00C764E3">
        <w:trPr>
          <w:trHeight w:val="304"/>
        </w:trPr>
        <w:tc>
          <w:tcPr>
            <w:tcW w:w="3838" w:type="dxa"/>
            <w:vAlign w:val="center"/>
          </w:tcPr>
          <w:p w:rsidR="00C764E3" w:rsidRDefault="000D22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914,264.41</w:t>
            </w:r>
          </w:p>
        </w:tc>
      </w:tr>
      <w:tr w:rsidR="00C764E3">
        <w:trPr>
          <w:trHeight w:val="304"/>
        </w:trPr>
        <w:tc>
          <w:tcPr>
            <w:tcW w:w="3838" w:type="dxa"/>
            <w:vAlign w:val="center"/>
          </w:tcPr>
          <w:p w:rsidR="00C764E3" w:rsidRDefault="000D22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1,245,620.60</w:t>
            </w:r>
          </w:p>
        </w:tc>
      </w:tr>
      <w:tr w:rsidR="00C764E3">
        <w:trPr>
          <w:trHeight w:val="304"/>
        </w:trPr>
        <w:tc>
          <w:tcPr>
            <w:tcW w:w="3838" w:type="dxa"/>
            <w:vAlign w:val="center"/>
          </w:tcPr>
          <w:p w:rsidR="00C764E3" w:rsidRDefault="000D22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185,336,928.20</w:t>
            </w:r>
          </w:p>
        </w:tc>
      </w:tr>
      <w:tr w:rsidR="00C764E3">
        <w:trPr>
          <w:trHeight w:val="304"/>
        </w:trPr>
        <w:tc>
          <w:tcPr>
            <w:tcW w:w="3838" w:type="dxa"/>
            <w:vAlign w:val="center"/>
          </w:tcPr>
          <w:p w:rsidR="00C764E3" w:rsidRDefault="000D22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1.0068</w:t>
            </w:r>
          </w:p>
        </w:tc>
      </w:tr>
      <w:tr w:rsidR="00C764E3">
        <w:trPr>
          <w:trHeight w:val="304"/>
        </w:trPr>
        <w:tc>
          <w:tcPr>
            <w:tcW w:w="3838" w:type="dxa"/>
            <w:vAlign w:val="center"/>
          </w:tcPr>
          <w:p w:rsidR="00C764E3" w:rsidRDefault="000D22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1.0883</w:t>
            </w:r>
          </w:p>
        </w:tc>
      </w:tr>
      <w:tr w:rsidR="00C764E3">
        <w:trPr>
          <w:trHeight w:val="304"/>
        </w:trPr>
        <w:tc>
          <w:tcPr>
            <w:tcW w:w="3838" w:type="dxa"/>
            <w:vAlign w:val="center"/>
          </w:tcPr>
          <w:p w:rsidR="00C764E3" w:rsidRDefault="000D227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185,336,928.20</w:t>
            </w:r>
          </w:p>
        </w:tc>
      </w:tr>
      <w:tr w:rsidR="00C764E3">
        <w:trPr>
          <w:trHeight w:val="304"/>
        </w:trPr>
        <w:tc>
          <w:tcPr>
            <w:tcW w:w="3838" w:type="dxa"/>
            <w:vAlign w:val="center"/>
          </w:tcPr>
          <w:p w:rsidR="00C764E3" w:rsidRDefault="000D227C">
            <w:pPr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</w:rPr>
              <w:t>期末最后一个市场交易日</w:t>
            </w:r>
            <w:r>
              <w:rPr>
                <w:rFonts w:ascii="宋体" w:hAnsi="宋体" w:hint="eastAsia"/>
              </w:rPr>
              <w:t>份额</w:t>
            </w:r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1.0068</w:t>
            </w:r>
          </w:p>
        </w:tc>
      </w:tr>
      <w:tr w:rsidR="00C764E3">
        <w:trPr>
          <w:trHeight w:val="304"/>
        </w:trPr>
        <w:tc>
          <w:tcPr>
            <w:tcW w:w="3838" w:type="dxa"/>
            <w:vAlign w:val="center"/>
          </w:tcPr>
          <w:p w:rsidR="00C764E3" w:rsidRDefault="000D227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期末最后一个市场交易日</w:t>
            </w:r>
            <w:r>
              <w:rPr>
                <w:rFonts w:ascii="宋体" w:hAnsi="宋体" w:hint="eastAsia"/>
              </w:rPr>
              <w:t>累计单位</w:t>
            </w:r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1.0883</w:t>
            </w:r>
          </w:p>
        </w:tc>
      </w:tr>
    </w:tbl>
    <w:p w:rsidR="00C764E3" w:rsidRDefault="000D227C">
      <w:pPr>
        <w:tabs>
          <w:tab w:val="left" w:pos="3135"/>
        </w:tabs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C764E3" w:rsidRDefault="000D227C">
      <w:pPr>
        <w:pStyle w:val="XBRLTitle1"/>
      </w:pPr>
      <w:r>
        <w:rPr>
          <w:rFonts w:hint="eastAsia"/>
        </w:rPr>
        <w:t>投资组合情况</w:t>
      </w:r>
      <w:r>
        <w:rPr>
          <w:rFonts w:hint="eastAsia"/>
        </w:rPr>
        <w:t>及</w:t>
      </w:r>
      <w:r>
        <w:t>流动性风险分析</w:t>
      </w:r>
    </w:p>
    <w:p w:rsidR="00C764E3" w:rsidRDefault="00C764E3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C764E3" w:rsidRDefault="00C764E3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C764E3" w:rsidRDefault="00C764E3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C764E3" w:rsidRDefault="00C764E3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C764E3" w:rsidRDefault="000D227C">
      <w:pPr>
        <w:pStyle w:val="XBRLTitle2"/>
        <w:spacing w:before="156" w:after="156"/>
      </w:pPr>
      <w:r>
        <w:rPr>
          <w:rFonts w:hint="eastAsia"/>
          <w:b w:val="0"/>
        </w:rPr>
        <w:t>期末资产组合情况</w:t>
      </w:r>
    </w:p>
    <w:p w:rsidR="00C764E3" w:rsidRDefault="00C764E3">
      <w:pPr>
        <w:rPr>
          <w:lang w:val="zh-CN"/>
        </w:rPr>
      </w:pPr>
    </w:p>
    <w:p w:rsidR="00C764E3" w:rsidRDefault="00C764E3">
      <w:pPr>
        <w:jc w:val="right"/>
      </w:pPr>
    </w:p>
    <w:p w:rsidR="00C764E3" w:rsidRDefault="00C764E3">
      <w:pPr>
        <w:jc w:val="right"/>
      </w:pPr>
    </w:p>
    <w:p w:rsidR="00C764E3" w:rsidRDefault="000D227C">
      <w:pPr>
        <w:jc w:val="right"/>
      </w:pPr>
      <w:r>
        <w:rPr>
          <w:rFonts w:hint="eastAsia"/>
        </w:rPr>
        <w:t>金额单位：元</w:t>
      </w:r>
    </w:p>
    <w:tbl>
      <w:tblPr>
        <w:tblpPr w:leftFromText="180" w:rightFromText="180" w:vertAnchor="text" w:horzAnchor="page" w:tblpX="1613" w:tblpY="287"/>
        <w:tblOverlap w:val="never"/>
        <w:tblW w:w="8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C764E3">
        <w:trPr>
          <w:trHeight w:val="692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C764E3" w:rsidRDefault="000D227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C764E3" w:rsidRDefault="000D227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C764E3" w:rsidRDefault="000D227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C764E3" w:rsidRDefault="000D227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C764E3">
        <w:trPr>
          <w:trHeight w:val="692"/>
        </w:trPr>
        <w:tc>
          <w:tcPr>
            <w:tcW w:w="611" w:type="dxa"/>
            <w:vMerge/>
            <w:shd w:val="clear" w:color="auto" w:fill="D9D9D9"/>
            <w:vAlign w:val="center"/>
          </w:tcPr>
          <w:p w:rsidR="00C764E3" w:rsidRDefault="00C764E3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C764E3" w:rsidRDefault="00C764E3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C764E3" w:rsidRDefault="000D227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C764E3" w:rsidRDefault="000D227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C764E3" w:rsidRDefault="000D227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C764E3" w:rsidRDefault="000D227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C764E3"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C764E3"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C764E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C764E3" w:rsidRDefault="00C764E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C764E3" w:rsidRDefault="00C764E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C764E3" w:rsidRDefault="00C764E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C764E3" w:rsidRDefault="00C764E3">
            <w:pPr>
              <w:jc w:val="right"/>
              <w:rPr>
                <w:rFonts w:ascii="宋体" w:hAnsi="宋体"/>
              </w:rPr>
            </w:pPr>
          </w:p>
        </w:tc>
      </w:tr>
      <w:tr w:rsidR="00C764E3"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C764E3"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166,696,591.98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87.77</w:t>
            </w:r>
          </w:p>
        </w:tc>
        <w:tc>
          <w:tcPr>
            <w:tcW w:w="1653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C764E3"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166,696,591.98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87.77</w:t>
            </w:r>
          </w:p>
        </w:tc>
        <w:tc>
          <w:tcPr>
            <w:tcW w:w="1653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C764E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C764E3"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C764E3"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C764E3" w:rsidRDefault="00C764E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C764E3" w:rsidRDefault="00C764E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C764E3" w:rsidRDefault="00C764E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C764E3" w:rsidRDefault="00C764E3">
            <w:pPr>
              <w:jc w:val="right"/>
              <w:rPr>
                <w:rFonts w:ascii="宋体" w:hAnsi="宋体"/>
              </w:rPr>
            </w:pPr>
          </w:p>
        </w:tc>
      </w:tr>
      <w:tr w:rsidR="00C764E3"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C764E3" w:rsidRDefault="00C764E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C764E3" w:rsidRDefault="00C764E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C764E3" w:rsidRDefault="00C764E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C764E3" w:rsidRDefault="00C764E3">
            <w:pPr>
              <w:jc w:val="right"/>
              <w:rPr>
                <w:rFonts w:ascii="宋体" w:hAnsi="宋体"/>
              </w:rPr>
            </w:pPr>
          </w:p>
        </w:tc>
      </w:tr>
      <w:tr w:rsidR="00C764E3"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C764E3"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C764E3" w:rsidRDefault="00C764E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C764E3" w:rsidRDefault="00C764E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C764E3" w:rsidRDefault="00C764E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C764E3" w:rsidRDefault="00C764E3">
            <w:pPr>
              <w:jc w:val="right"/>
              <w:rPr>
                <w:rFonts w:ascii="宋体" w:hAnsi="宋体"/>
              </w:rPr>
            </w:pPr>
          </w:p>
        </w:tc>
      </w:tr>
      <w:tr w:rsidR="00C764E3"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12,999,639.42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6.84</w:t>
            </w:r>
          </w:p>
        </w:tc>
        <w:tc>
          <w:tcPr>
            <w:tcW w:w="1653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C764E3"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C764E3"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C764E3" w:rsidRDefault="00C764E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C764E3" w:rsidRDefault="00C764E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C764E3" w:rsidRDefault="00C764E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C764E3" w:rsidRDefault="00C764E3">
            <w:pPr>
              <w:jc w:val="right"/>
              <w:rPr>
                <w:rFonts w:ascii="宋体" w:hAnsi="宋体"/>
              </w:rPr>
            </w:pPr>
          </w:p>
        </w:tc>
      </w:tr>
      <w:tr w:rsidR="00C764E3"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9,646,192.65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5.08</w:t>
            </w:r>
          </w:p>
        </w:tc>
        <w:tc>
          <w:tcPr>
            <w:tcW w:w="1653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C764E3"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C764E3"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C764E3"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4E3" w:rsidRDefault="000D227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584,661.37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0.31</w:t>
            </w:r>
          </w:p>
        </w:tc>
        <w:tc>
          <w:tcPr>
            <w:tcW w:w="1653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C764E3">
        <w:tc>
          <w:tcPr>
            <w:tcW w:w="611" w:type="dxa"/>
            <w:shd w:val="clear" w:color="auto" w:fill="auto"/>
          </w:tcPr>
          <w:p w:rsidR="00C764E3" w:rsidRDefault="00C764E3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C764E3" w:rsidRDefault="000D227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189,927,085.42</w:t>
            </w:r>
          </w:p>
        </w:tc>
        <w:tc>
          <w:tcPr>
            <w:tcW w:w="1749" w:type="dxa"/>
            <w:shd w:val="clear" w:color="auto" w:fill="auto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100.00</w:t>
            </w:r>
          </w:p>
        </w:tc>
        <w:tc>
          <w:tcPr>
            <w:tcW w:w="1653" w:type="dxa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</w:tbl>
    <w:p w:rsidR="00C764E3" w:rsidRDefault="00C764E3">
      <w:pPr>
        <w:jc w:val="left"/>
        <w:rPr>
          <w:rFonts w:ascii="宋体" w:hAnsi="宋体"/>
          <w:sz w:val="24"/>
        </w:rPr>
      </w:pPr>
    </w:p>
    <w:p w:rsidR="00C764E3" w:rsidRDefault="00C764E3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</w:p>
    <w:p w:rsidR="00C764E3" w:rsidRDefault="000D227C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</w:rPr>
        <w:t>性</w:t>
      </w:r>
      <w:r>
        <w:rPr>
          <w:b w:val="0"/>
        </w:rPr>
        <w:t>风险分析</w:t>
      </w:r>
    </w:p>
    <w:p w:rsidR="00C764E3" w:rsidRDefault="000D227C">
      <w:pPr>
        <w:spacing w:line="360" w:lineRule="auto"/>
        <w:ind w:rightChars="-51" w:right="-107" w:firstLineChars="200" w:firstLine="48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 w:rsidR="00C764E3" w:rsidRDefault="00C764E3">
      <w:pPr>
        <w:jc w:val="left"/>
        <w:rPr>
          <w:rFonts w:asciiTheme="minorEastAsia" w:eastAsiaTheme="minorEastAsia" w:hAnsiTheme="minorEastAsia"/>
          <w:sz w:val="24"/>
        </w:rPr>
      </w:pPr>
    </w:p>
    <w:p w:rsidR="00C764E3" w:rsidRDefault="00C764E3">
      <w:pPr>
        <w:widowControl/>
        <w:jc w:val="left"/>
        <w:rPr>
          <w:rFonts w:ascii="宋体" w:hAnsi="宋体"/>
          <w:sz w:val="24"/>
        </w:rPr>
      </w:pPr>
    </w:p>
    <w:p w:rsidR="00C764E3" w:rsidRDefault="000D227C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:rsidR="00C764E3" w:rsidRDefault="000D227C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C764E3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C764E3" w:rsidRDefault="000D227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C764E3" w:rsidRDefault="000D227C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C764E3" w:rsidRDefault="000D227C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C764E3" w:rsidRDefault="000D227C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占产品资产净值比例（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C764E3">
        <w:tc>
          <w:tcPr>
            <w:tcW w:w="777" w:type="dxa"/>
            <w:shd w:val="clear" w:color="auto" w:fill="auto"/>
            <w:vAlign w:val="center"/>
          </w:tcPr>
          <w:p w:rsidR="00C764E3" w:rsidRDefault="000D227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C764E3" w:rsidRDefault="000D227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乌鲁木齐银行</w:t>
            </w:r>
            <w:r>
              <w:rPr>
                <w:rFonts w:ascii="宋体" w:hAnsi="宋体"/>
                <w:szCs w:val="21"/>
              </w:rPr>
              <w:t>CD147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15,803,583.65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8.53</w:t>
            </w:r>
          </w:p>
        </w:tc>
      </w:tr>
      <w:tr w:rsidR="00C764E3">
        <w:tc>
          <w:tcPr>
            <w:tcW w:w="777" w:type="dxa"/>
            <w:shd w:val="clear" w:color="auto" w:fill="auto"/>
            <w:vAlign w:val="center"/>
          </w:tcPr>
          <w:p w:rsidR="00C764E3" w:rsidRDefault="000D227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C764E3" w:rsidRDefault="000D227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12,999,639.42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7.01</w:t>
            </w:r>
          </w:p>
        </w:tc>
      </w:tr>
      <w:tr w:rsidR="00C764E3">
        <w:tc>
          <w:tcPr>
            <w:tcW w:w="777" w:type="dxa"/>
            <w:shd w:val="clear" w:color="auto" w:fill="auto"/>
            <w:vAlign w:val="center"/>
          </w:tcPr>
          <w:p w:rsidR="00C764E3" w:rsidRDefault="000D227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C764E3" w:rsidRDefault="000D227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</w:t>
            </w:r>
            <w:r>
              <w:rPr>
                <w:rFonts w:ascii="宋体" w:hAnsi="宋体"/>
                <w:szCs w:val="21"/>
              </w:rPr>
              <w:t>彭城</w:t>
            </w:r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12,773,766.57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6.89</w:t>
            </w:r>
          </w:p>
        </w:tc>
      </w:tr>
      <w:tr w:rsidR="00C764E3">
        <w:tc>
          <w:tcPr>
            <w:tcW w:w="777" w:type="dxa"/>
            <w:shd w:val="clear" w:color="auto" w:fill="auto"/>
            <w:vAlign w:val="center"/>
          </w:tcPr>
          <w:p w:rsidR="00C764E3" w:rsidRDefault="000D227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C764E3" w:rsidRDefault="000D227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江苏银行</w:t>
            </w:r>
            <w:r>
              <w:rPr>
                <w:rFonts w:ascii="宋体" w:hAnsi="宋体"/>
                <w:szCs w:val="21"/>
              </w:rPr>
              <w:t>CD189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11,873,358.90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6.41</w:t>
            </w:r>
          </w:p>
        </w:tc>
      </w:tr>
      <w:tr w:rsidR="00C764E3">
        <w:tc>
          <w:tcPr>
            <w:tcW w:w="777" w:type="dxa"/>
            <w:shd w:val="clear" w:color="auto" w:fill="auto"/>
            <w:vAlign w:val="center"/>
          </w:tcPr>
          <w:p w:rsidR="00C764E3" w:rsidRDefault="000D227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C764E3" w:rsidRDefault="000D227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</w:t>
            </w:r>
            <w:r>
              <w:rPr>
                <w:rFonts w:ascii="宋体" w:hAnsi="宋体"/>
                <w:szCs w:val="21"/>
              </w:rPr>
              <w:t>达州</w:t>
            </w:r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11,503,106.85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6.21</w:t>
            </w:r>
          </w:p>
        </w:tc>
      </w:tr>
      <w:tr w:rsidR="00C764E3">
        <w:tc>
          <w:tcPr>
            <w:tcW w:w="777" w:type="dxa"/>
            <w:shd w:val="clear" w:color="auto" w:fill="auto"/>
            <w:vAlign w:val="center"/>
          </w:tcPr>
          <w:p w:rsidR="00C764E3" w:rsidRDefault="000D227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C764E3" w:rsidRDefault="000D227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成经</w:t>
            </w:r>
            <w:r>
              <w:rPr>
                <w:rFonts w:ascii="宋体" w:hAnsi="宋体"/>
                <w:szCs w:val="21"/>
              </w:rPr>
              <w:t>D2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11,164,291.78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6.02</w:t>
            </w:r>
          </w:p>
        </w:tc>
      </w:tr>
      <w:tr w:rsidR="00C764E3">
        <w:tc>
          <w:tcPr>
            <w:tcW w:w="777" w:type="dxa"/>
            <w:shd w:val="clear" w:color="auto" w:fill="auto"/>
            <w:vAlign w:val="center"/>
          </w:tcPr>
          <w:p w:rsidR="00C764E3" w:rsidRDefault="000D227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C764E3" w:rsidRDefault="000D227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</w:t>
            </w:r>
            <w:r>
              <w:rPr>
                <w:rFonts w:ascii="宋体" w:hAnsi="宋体"/>
                <w:szCs w:val="21"/>
              </w:rPr>
              <w:t>广安</w:t>
            </w:r>
            <w:r>
              <w:rPr>
                <w:rFonts w:ascii="宋体" w:hAnsi="宋体"/>
                <w:szCs w:val="21"/>
              </w:rPr>
              <w:t>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10,687,301.37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5.77</w:t>
            </w:r>
          </w:p>
        </w:tc>
      </w:tr>
      <w:tr w:rsidR="00C764E3">
        <w:tc>
          <w:tcPr>
            <w:tcW w:w="777" w:type="dxa"/>
            <w:shd w:val="clear" w:color="auto" w:fill="auto"/>
            <w:vAlign w:val="center"/>
          </w:tcPr>
          <w:p w:rsidR="00C764E3" w:rsidRDefault="000D227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C764E3" w:rsidRDefault="000D227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</w:t>
            </w:r>
            <w:r>
              <w:rPr>
                <w:rFonts w:ascii="宋体" w:hAnsi="宋体"/>
                <w:szCs w:val="21"/>
              </w:rPr>
              <w:t>川菜</w:t>
            </w:r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10,495,767.12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5.66</w:t>
            </w:r>
          </w:p>
        </w:tc>
      </w:tr>
      <w:tr w:rsidR="00C764E3">
        <w:tc>
          <w:tcPr>
            <w:tcW w:w="777" w:type="dxa"/>
            <w:shd w:val="clear" w:color="auto" w:fill="auto"/>
            <w:vAlign w:val="center"/>
          </w:tcPr>
          <w:p w:rsidR="00C764E3" w:rsidRDefault="000D227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C764E3" w:rsidRDefault="000D227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新津城乡</w:t>
            </w:r>
            <w:r>
              <w:rPr>
                <w:rFonts w:ascii="宋体" w:hAnsi="宋体"/>
                <w:szCs w:val="21"/>
              </w:rPr>
              <w:t>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10,475,256.83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5.65</w:t>
            </w:r>
          </w:p>
        </w:tc>
      </w:tr>
      <w:tr w:rsidR="00C764E3">
        <w:tc>
          <w:tcPr>
            <w:tcW w:w="777" w:type="dxa"/>
            <w:shd w:val="clear" w:color="auto" w:fill="auto"/>
            <w:vAlign w:val="center"/>
          </w:tcPr>
          <w:p w:rsidR="00C764E3" w:rsidRDefault="000D227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C764E3" w:rsidRDefault="000D227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眉控</w:t>
            </w:r>
            <w:r>
              <w:rPr>
                <w:rFonts w:ascii="宋体" w:hAnsi="宋体"/>
                <w:szCs w:val="21"/>
              </w:rPr>
              <w:t>02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10,448,684.93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C764E3" w:rsidRDefault="000D227C"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5.64</w:t>
            </w:r>
            <w:bookmarkEnd w:id="3"/>
            <w:bookmarkEnd w:id="4"/>
          </w:p>
        </w:tc>
      </w:tr>
    </w:tbl>
    <w:p w:rsidR="00C764E3" w:rsidRDefault="000D227C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C764E3" w:rsidRDefault="000D227C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注：前十项资产明细仅包含证券投资、场外投资，不包含银行存款、存出保证金、清算备付金等资产。</w:t>
      </w:r>
    </w:p>
    <w:p w:rsidR="00C764E3" w:rsidRDefault="000D227C">
      <w:pPr>
        <w:pStyle w:val="XBRLTitle1"/>
      </w:pPr>
      <w:r>
        <w:t>托管人报告</w:t>
      </w:r>
    </w:p>
    <w:p w:rsidR="00C764E3" w:rsidRDefault="000D227C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ascii="宋体" w:hAnsi="宋体" w:hint="eastAsia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C764E3" w:rsidRDefault="000D227C">
      <w:pPr>
        <w:pStyle w:val="XBRLTitle1"/>
      </w:pPr>
      <w:r>
        <w:rPr>
          <w:rFonts w:hint="eastAsia"/>
          <w:lang w:val="en-US"/>
        </w:rPr>
        <w:t>关联交易情况说明</w:t>
      </w:r>
    </w:p>
    <w:p w:rsidR="0059564A" w:rsidRDefault="0059564A" w:rsidP="0059564A">
      <w:pPr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本报告期末，本产品投资的</w:t>
      </w:r>
      <w:r>
        <w:rPr>
          <w:rFonts w:ascii="宋体" w:hAnsi="宋体"/>
          <w:szCs w:val="21"/>
        </w:rPr>
        <w:t>21</w:t>
      </w:r>
      <w:r>
        <w:rPr>
          <w:rFonts w:ascii="宋体" w:hAnsi="宋体" w:hint="eastAsia"/>
          <w:szCs w:val="21"/>
        </w:rPr>
        <w:t>攀国投</w:t>
      </w:r>
      <w:bookmarkStart w:id="5" w:name="_GoBack"/>
      <w:bookmarkEnd w:id="5"/>
      <w:r>
        <w:rPr>
          <w:rFonts w:asciiTheme="minorEastAsia" w:eastAsiaTheme="minorEastAsia" w:hAnsiTheme="minorEastAsia" w:hint="eastAsia"/>
          <w:szCs w:val="21"/>
        </w:rPr>
        <w:t>属于关联交易。</w:t>
      </w:r>
    </w:p>
    <w:p w:rsidR="00C764E3" w:rsidRDefault="00C764E3">
      <w:pPr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</w:p>
    <w:p w:rsidR="00C764E3" w:rsidRDefault="00C764E3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</w:p>
    <w:p w:rsidR="00C764E3" w:rsidRDefault="00C764E3">
      <w:pPr>
        <w:jc w:val="left"/>
        <w:rPr>
          <w:rFonts w:asciiTheme="minorEastAsia" w:eastAsiaTheme="minorEastAsia" w:hAnsiTheme="minorEastAsia"/>
          <w:szCs w:val="21"/>
        </w:rPr>
      </w:pPr>
    </w:p>
    <w:p w:rsidR="00C764E3" w:rsidRDefault="00C764E3">
      <w:pPr>
        <w:jc w:val="right"/>
        <w:rPr>
          <w:rFonts w:ascii="宋体" w:hAnsi="宋体"/>
          <w:sz w:val="24"/>
        </w:rPr>
      </w:pPr>
    </w:p>
    <w:p w:rsidR="00C764E3" w:rsidRDefault="00C764E3">
      <w:pPr>
        <w:jc w:val="right"/>
        <w:rPr>
          <w:rFonts w:ascii="宋体" w:hAnsi="宋体"/>
          <w:sz w:val="24"/>
        </w:rPr>
      </w:pPr>
    </w:p>
    <w:p w:rsidR="00C764E3" w:rsidRDefault="00C764E3">
      <w:pPr>
        <w:jc w:val="right"/>
        <w:rPr>
          <w:rFonts w:ascii="宋体" w:hAnsi="宋体"/>
          <w:sz w:val="24"/>
        </w:rPr>
      </w:pPr>
    </w:p>
    <w:p w:rsidR="00C764E3" w:rsidRDefault="00C764E3">
      <w:pPr>
        <w:jc w:val="right"/>
        <w:rPr>
          <w:rFonts w:ascii="宋体" w:hAnsi="宋体"/>
          <w:sz w:val="24"/>
        </w:rPr>
      </w:pPr>
    </w:p>
    <w:p w:rsidR="00C764E3" w:rsidRDefault="000D227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 w:rsidR="00C764E3" w:rsidRDefault="000D227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ascii="宋体" w:hAnsi="宋体" w:hint="eastAsia"/>
          <w:sz w:val="28"/>
          <w:szCs w:val="28"/>
        </w:rPr>
        <w:t xml:space="preserve">                   </w:t>
      </w:r>
    </w:p>
    <w:sectPr w:rsidR="00C764E3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27C" w:rsidRDefault="000D227C">
      <w:r>
        <w:separator/>
      </w:r>
    </w:p>
  </w:endnote>
  <w:endnote w:type="continuationSeparator" w:id="0">
    <w:p w:rsidR="000D227C" w:rsidRDefault="000D2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4E3" w:rsidRDefault="000D227C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C764E3" w:rsidRDefault="00C764E3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4E3" w:rsidRDefault="000D227C">
    <w:pPr>
      <w:pStyle w:val="a7"/>
      <w:framePr w:wrap="around" w:vAnchor="text" w:hAnchor="margin" w:xAlign="right" w:y="1"/>
      <w:rPr>
        <w:rStyle w:val="af"/>
      </w:rPr>
    </w:pPr>
    <w:r>
      <w:rPr>
        <w:rStyle w:val="af"/>
        <w:rFonts w:hint="eastAsia"/>
      </w:rPr>
      <w:t xml:space="preserve"> </w:t>
    </w:r>
  </w:p>
  <w:p w:rsidR="00C764E3" w:rsidRDefault="00C764E3">
    <w:pPr>
      <w:pStyle w:val="a7"/>
      <w:ind w:right="10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27C" w:rsidRDefault="000D227C">
      <w:r>
        <w:separator/>
      </w:r>
    </w:p>
  </w:footnote>
  <w:footnote w:type="continuationSeparator" w:id="0">
    <w:p w:rsidR="000D227C" w:rsidRDefault="000D22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420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227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564A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764E3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0D43495E"/>
    <w:rsid w:val="134C76E8"/>
    <w:rsid w:val="139A5829"/>
    <w:rsid w:val="23AB2840"/>
    <w:rsid w:val="2FC23DC4"/>
    <w:rsid w:val="339E2F39"/>
    <w:rsid w:val="38A16717"/>
    <w:rsid w:val="46A87316"/>
    <w:rsid w:val="512D246A"/>
    <w:rsid w:val="54B27197"/>
    <w:rsid w:val="5A9E6B68"/>
    <w:rsid w:val="65F050E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E0572BC-1143-480F-909F-3120B30CF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4">
    <w:name w:val="heading 4"/>
    <w:basedOn w:val="a"/>
    <w:next w:val="a"/>
    <w:link w:val="4Char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qFormat/>
    <w:pPr>
      <w:shd w:val="clear" w:color="auto" w:fill="000080"/>
    </w:pPr>
  </w:style>
  <w:style w:type="paragraph" w:styleId="a4">
    <w:name w:val="annotation text"/>
    <w:basedOn w:val="a"/>
    <w:qFormat/>
    <w:pPr>
      <w:jc w:val="left"/>
    </w:pPr>
  </w:style>
  <w:style w:type="paragraph" w:styleId="a5">
    <w:name w:val="Date"/>
    <w:basedOn w:val="a"/>
    <w:next w:val="a"/>
    <w:link w:val="Char"/>
    <w:qFormat/>
    <w:rPr>
      <w:rFonts w:ascii="宋体"/>
      <w:sz w:val="32"/>
      <w:lang w:val="zh-CN"/>
    </w:r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2"/>
    <w:next w:val="3"/>
    <w:link w:val="Char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aa">
    <w:name w:val="footnote text"/>
    <w:basedOn w:val="a"/>
    <w:link w:val="Char1"/>
    <w:qFormat/>
    <w:pPr>
      <w:snapToGrid w:val="0"/>
      <w:jc w:val="left"/>
    </w:pPr>
    <w:rPr>
      <w:sz w:val="18"/>
      <w:szCs w:val="18"/>
      <w:lang w:val="zh-CN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c">
    <w:name w:val="Title"/>
    <w:basedOn w:val="1"/>
    <w:next w:val="2"/>
    <w:link w:val="Char2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ad">
    <w:name w:val="annotation subject"/>
    <w:basedOn w:val="a4"/>
    <w:next w:val="a4"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qFormat/>
  </w:style>
  <w:style w:type="character" w:styleId="af0">
    <w:name w:val="annotation reference"/>
    <w:qFormat/>
    <w:rPr>
      <w:sz w:val="21"/>
      <w:szCs w:val="21"/>
    </w:rPr>
  </w:style>
  <w:style w:type="character" w:styleId="af1">
    <w:name w:val="footnote reference"/>
    <w:qFormat/>
    <w:rPr>
      <w:vertAlign w:val="superscript"/>
    </w:rPr>
  </w:style>
  <w:style w:type="character" w:customStyle="1" w:styleId="3Char">
    <w:name w:val="标题 3 Char"/>
    <w:link w:val="3"/>
    <w:uiPriority w:val="9"/>
    <w:qFormat/>
    <w:rPr>
      <w:b/>
      <w:bCs/>
      <w:sz w:val="32"/>
      <w:szCs w:val="32"/>
    </w:rPr>
  </w:style>
  <w:style w:type="character" w:customStyle="1" w:styleId="CODE">
    <w:name w:val="CODE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Char0">
    <w:name w:val="副标题 Char"/>
    <w:link w:val="a9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Char">
    <w:name w:val="标题 1 Char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2">
    <w:name w:val="标题 Char"/>
    <w:link w:val="ac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xl33">
    <w:name w:val="xl3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CharCharCharCharCharChar1CharCharChar">
    <w:name w:val="Char Char Char Char Char Char1 Char Char Char"/>
    <w:basedOn w:val="a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af2">
    <w:name w:val="次标题"/>
    <w:basedOn w:val="3"/>
    <w:next w:val="a"/>
    <w:qFormat/>
    <w:pPr>
      <w:jc w:val="left"/>
    </w:pPr>
    <w:rPr>
      <w:rFonts w:ascii="宋体" w:hAnsi="宋体"/>
      <w:sz w:val="24"/>
      <w:szCs w:val="24"/>
    </w:rPr>
  </w:style>
  <w:style w:type="paragraph" w:customStyle="1" w:styleId="Char3">
    <w:name w:val="Char"/>
    <w:basedOn w:val="a"/>
    <w:qFormat/>
  </w:style>
  <w:style w:type="character" w:customStyle="1" w:styleId="4Char">
    <w:name w:val="标题 4 Char"/>
    <w:link w:val="4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9"/>
    <w:next w:val="4"/>
    <w:qFormat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qFormat/>
    <w:pPr>
      <w:numPr>
        <w:numId w:val="1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9"/>
    <w:next w:val="4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9"/>
    <w:next w:val="4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9"/>
    <w:next w:val="4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9"/>
    <w:next w:val="4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9"/>
    <w:next w:val="4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character" w:customStyle="1" w:styleId="Char1">
    <w:name w:val="脚注文本 Char"/>
    <w:link w:val="aa"/>
    <w:qFormat/>
    <w:rPr>
      <w:kern w:val="2"/>
      <w:sz w:val="18"/>
      <w:szCs w:val="18"/>
    </w:rPr>
  </w:style>
  <w:style w:type="character" w:customStyle="1" w:styleId="Char">
    <w:name w:val="日期 Char"/>
    <w:link w:val="a5"/>
    <w:qFormat/>
    <w:rPr>
      <w:rFonts w:ascii="宋体"/>
      <w:kern w:val="2"/>
      <w:sz w:val="32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paragraph" w:customStyle="1" w:styleId="Char10">
    <w:name w:val="Char1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DE260-8F3E-499D-8D9B-BDFFD85F8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361</Words>
  <Characters>2061</Characters>
  <Application>Microsoft Office Word</Application>
  <DocSecurity>0</DocSecurity>
  <Lines>17</Lines>
  <Paragraphs>4</Paragraphs>
  <ScaleCrop>false</ScaleCrop>
  <Company>Lenovo</Company>
  <LinksUpToDate>false</LinksUpToDate>
  <CharactersWithSpaces>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苏晓雅</cp:lastModifiedBy>
  <cp:revision>150</cp:revision>
  <cp:lastPrinted>2411-12-31T15:59:00Z</cp:lastPrinted>
  <dcterms:created xsi:type="dcterms:W3CDTF">2020-01-07T12:08:00Z</dcterms:created>
  <dcterms:modified xsi:type="dcterms:W3CDTF">2025-01-15T07:06:00Z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