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sz w:val="48"/>
        </w:rPr>
      </w:pPr>
    </w:p>
    <w:p>
      <w:pPr>
        <w:rPr>
          <w:sz w:val="48"/>
        </w:rPr>
      </w:pPr>
    </w:p>
    <w:p>
      <w:pPr>
        <w:jc w:val="center"/>
        <w:rPr>
          <w:rFonts w:ascii="宋体" w:hAnsi="宋体"/>
          <w:b/>
          <w:bCs/>
          <w:sz w:val="48"/>
          <w:szCs w:val="30"/>
        </w:rPr>
      </w:pPr>
      <w:r>
        <w:rPr>
          <w:rFonts w:ascii="宋体" w:hAnsi="宋体"/>
          <w:b/>
          <w:bCs/>
          <w:sz w:val="48"/>
          <w:szCs w:val="30"/>
        </w:rPr>
        <w:t>四川银行定开系列3个月10号净值型理财产品</w:t>
      </w:r>
    </w:p>
    <w:p>
      <w:pPr>
        <w:jc w:val="center"/>
        <w:rPr>
          <w:rFonts w:ascii="宋体" w:hAnsi="宋体"/>
          <w:b/>
          <w:bCs/>
          <w:sz w:val="48"/>
          <w:szCs w:val="30"/>
        </w:rPr>
      </w:pPr>
      <w:r>
        <w:rPr>
          <w:rFonts w:ascii="宋体" w:hAnsi="宋体"/>
          <w:b/>
          <w:bCs/>
          <w:sz w:val="48"/>
          <w:szCs w:val="30"/>
        </w:rPr>
        <w:t>2025年第4季度</w:t>
      </w:r>
      <w:r>
        <w:rPr>
          <w:rFonts w:hint="eastAsia" w:ascii="宋体" w:hAnsi="宋体"/>
          <w:b/>
          <w:bCs/>
          <w:sz w:val="48"/>
          <w:szCs w:val="30"/>
        </w:rPr>
        <w:t>报告</w:t>
      </w:r>
    </w:p>
    <w:p>
      <w:pPr>
        <w:jc w:val="center"/>
        <w:rPr>
          <w:rFonts w:ascii="宋体" w:hAnsi="宋体"/>
          <w:b/>
          <w:bCs/>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jc w:val="center"/>
        <w:rPr>
          <w:rFonts w:ascii="宋体" w:hAnsi="宋体"/>
          <w:sz w:val="28"/>
          <w:szCs w:val="30"/>
        </w:rPr>
      </w:pPr>
    </w:p>
    <w:p>
      <w:pPr>
        <w:ind w:firstLine="1687" w:firstLineChars="600"/>
        <w:jc w:val="left"/>
        <w:rPr>
          <w:rFonts w:ascii="宋体" w:hAnsi="宋体"/>
          <w:b/>
          <w:bCs/>
          <w:sz w:val="28"/>
          <w:szCs w:val="30"/>
        </w:rPr>
      </w:pPr>
      <w:r>
        <w:rPr>
          <w:rFonts w:ascii="宋体" w:hAnsi="宋体"/>
          <w:b/>
          <w:bCs/>
          <w:sz w:val="28"/>
          <w:szCs w:val="30"/>
        </w:rPr>
        <w:t>产品管理人：四川银行股份有限公司</w:t>
      </w:r>
    </w:p>
    <w:p>
      <w:pPr>
        <w:ind w:firstLine="1687" w:firstLineChars="600"/>
        <w:jc w:val="left"/>
        <w:rPr>
          <w:rFonts w:ascii="宋体" w:hAnsi="宋体"/>
          <w:sz w:val="28"/>
          <w:szCs w:val="30"/>
        </w:rPr>
      </w:pPr>
      <w:r>
        <w:rPr>
          <w:rFonts w:ascii="宋体" w:hAnsi="宋体"/>
          <w:b/>
          <w:bCs/>
          <w:sz w:val="28"/>
          <w:szCs w:val="30"/>
        </w:rPr>
        <w:t>产品托管人：招商银行股份有限公司成都分行</w:t>
      </w: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ind w:firstLine="1680" w:firstLineChars="600"/>
        <w:jc w:val="left"/>
        <w:rPr>
          <w:rFonts w:ascii="宋体" w:hAnsi="宋体"/>
          <w:sz w:val="28"/>
          <w:szCs w:val="30"/>
        </w:rPr>
      </w:pPr>
    </w:p>
    <w:p>
      <w:pPr>
        <w:rPr>
          <w:rFonts w:ascii="宋体" w:hAnsi="宋体"/>
          <w:sz w:val="28"/>
          <w:szCs w:val="30"/>
        </w:rPr>
      </w:pPr>
    </w:p>
    <w:p>
      <w:pPr>
        <w:jc w:val="center"/>
        <w:rPr>
          <w:rFonts w:ascii="宋体" w:hAnsi="宋体"/>
          <w:b/>
          <w:bCs/>
          <w:sz w:val="28"/>
          <w:szCs w:val="30"/>
        </w:rPr>
      </w:pPr>
    </w:p>
    <w:p>
      <w:pPr>
        <w:jc w:val="center"/>
        <w:rPr>
          <w:rFonts w:ascii="宋体" w:hAnsi="宋体"/>
          <w:b/>
          <w:bCs/>
          <w:sz w:val="28"/>
          <w:szCs w:val="30"/>
        </w:rPr>
      </w:pPr>
      <w:r>
        <w:rPr>
          <w:rFonts w:hint="eastAsia" w:ascii="宋体" w:hAnsi="宋体"/>
          <w:b/>
          <w:bCs/>
          <w:sz w:val="28"/>
          <w:szCs w:val="30"/>
        </w:rPr>
        <w:t>重要提示</w:t>
      </w:r>
    </w:p>
    <w:p>
      <w:pPr>
        <w:spacing w:line="360" w:lineRule="auto"/>
        <w:ind w:right="-107" w:rightChars="-51" w:firstLine="420" w:firstLineChars="200"/>
        <w:jc w:val="left"/>
        <w:rPr>
          <w:rFonts w:ascii="宋体" w:hAnsi="宋体"/>
          <w:szCs w:val="21"/>
        </w:rPr>
      </w:pPr>
      <w:r>
        <w:rPr>
          <w:rFonts w:hint="eastAsia" w:ascii="宋体" w:hAnsi="宋体"/>
          <w:szCs w:val="21"/>
        </w:rPr>
        <w:t>产品托管人</w:t>
      </w:r>
      <w:r>
        <w:rPr>
          <w:rFonts w:ascii="宋体" w:hAnsi="宋体"/>
          <w:szCs w:val="21"/>
        </w:rPr>
        <w:t>招商银行股份有限公司成都分行</w:t>
      </w:r>
      <w:r>
        <w:rPr>
          <w:rFonts w:hint="eastAsia" w:ascii="宋体" w:hAnsi="宋体"/>
          <w:szCs w:val="21"/>
        </w:rPr>
        <w:t>根据《商业银行理财业务监督管理办法》规定，复核了本报告中的产品收益表现、主要财务指标、投资组合情况等内容，保证复核内容不存在虚假记载、误导性陈述或者重大遗漏。</w:t>
      </w:r>
    </w:p>
    <w:p>
      <w:pPr>
        <w:spacing w:line="360" w:lineRule="auto"/>
        <w:ind w:right="-107" w:rightChars="-51" w:firstLine="420" w:firstLineChars="200"/>
        <w:jc w:val="left"/>
        <w:rPr>
          <w:rFonts w:ascii="宋体" w:hAnsi="宋体"/>
          <w:szCs w:val="21"/>
        </w:rPr>
      </w:pPr>
      <w:r>
        <w:rPr>
          <w:rFonts w:hint="eastAsia" w:ascii="宋体" w:hAnsi="宋体"/>
          <w:szCs w:val="21"/>
        </w:rPr>
        <w:t>产品管理人承诺以诚实信用、勤勉尽责的原则管理和运用理财资产，但不保证一定盈利。产品的过往业绩并不代表其未来表现。投资有风险，投资者在作出投资决策前应仔细阅读本产品的发行文件。</w:t>
      </w:r>
    </w:p>
    <w:p>
      <w:pPr>
        <w:spacing w:line="360" w:lineRule="auto"/>
        <w:ind w:right="-107" w:rightChars="-51" w:firstLine="420" w:firstLineChars="200"/>
        <w:jc w:val="left"/>
        <w:rPr>
          <w:rFonts w:ascii="宋体" w:hAnsi="宋体"/>
          <w:szCs w:val="21"/>
        </w:rPr>
      </w:pPr>
      <w:r>
        <w:rPr>
          <w:rFonts w:hint="eastAsia" w:ascii="宋体" w:hAnsi="宋体"/>
          <w:szCs w:val="21"/>
        </w:rPr>
        <w:t>本报告中财务资料未经审计。</w:t>
      </w:r>
    </w:p>
    <w:p>
      <w:pPr>
        <w:spacing w:line="360" w:lineRule="auto"/>
        <w:ind w:right="-107" w:rightChars="-51" w:firstLine="420" w:firstLineChars="200"/>
        <w:jc w:val="left"/>
        <w:rPr>
          <w:rFonts w:ascii="宋体" w:hAnsi="宋体"/>
          <w:szCs w:val="21"/>
        </w:rPr>
      </w:pPr>
      <w:r>
        <w:rPr>
          <w:rFonts w:hint="eastAsia" w:ascii="宋体" w:hAnsi="宋体"/>
          <w:szCs w:val="21"/>
        </w:rPr>
        <w:t>本</w:t>
      </w:r>
      <w:r>
        <w:rPr>
          <w:rFonts w:ascii="宋体" w:hAnsi="宋体"/>
          <w:szCs w:val="21"/>
        </w:rPr>
        <w:t>报告期</w:t>
      </w:r>
      <w:r>
        <w:rPr>
          <w:rFonts w:hint="eastAsia" w:ascii="宋体" w:hAnsi="宋体"/>
          <w:szCs w:val="21"/>
        </w:rPr>
        <w:t>自2025-10-01起至2025-12-31</w:t>
      </w:r>
      <w:r>
        <w:rPr>
          <w:rFonts w:ascii="宋体" w:hAnsi="宋体"/>
          <w:szCs w:val="21"/>
        </w:rPr>
        <w:t>止。</w:t>
      </w:r>
    </w:p>
    <w:p>
      <w:pPr>
        <w:pStyle w:val="40"/>
      </w:pPr>
      <w:r>
        <w:rPr>
          <w:rFonts w:hint="eastAsia"/>
          <w:lang w:eastAsia="zh-CN"/>
        </w:rPr>
        <w:t>产品</w:t>
      </w:r>
      <w:r>
        <w:rPr>
          <w:rFonts w:hint="eastAsia"/>
        </w:rPr>
        <w:t>基本情况</w:t>
      </w:r>
      <w:r>
        <w:rPr>
          <w:rFonts w:hint="eastAsia"/>
          <w:lang w:eastAsia="zh-CN"/>
        </w:rPr>
        <w:t xml:space="preserve"> </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ascii="宋体" w:hAnsi="宋体"/>
                <w:b/>
                <w:szCs w:val="21"/>
              </w:rPr>
            </w:pPr>
            <w:r>
              <w:rPr>
                <w:rFonts w:hint="eastAsia" w:ascii="宋体" w:hAnsi="宋体"/>
                <w:b/>
                <w:szCs w:val="21"/>
              </w:rPr>
              <w:t>项目</w:t>
            </w:r>
          </w:p>
        </w:tc>
        <w:tc>
          <w:tcPr>
            <w:tcW w:w="5027" w:type="dxa"/>
            <w:vAlign w:val="center"/>
          </w:tcPr>
          <w:p>
            <w:pPr>
              <w:jc w:val="left"/>
              <w:rPr>
                <w:rFonts w:ascii="宋体" w:hAnsi="宋体"/>
                <w:b/>
              </w:rPr>
            </w:pPr>
            <w:r>
              <w:rPr>
                <w:rFonts w:hint="eastAsia" w:ascii="宋体" w:hAnsi="宋体"/>
                <w:b/>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产品名称</w:t>
            </w:r>
          </w:p>
        </w:tc>
        <w:tc>
          <w:tcPr>
            <w:tcW w:w="5027" w:type="dxa"/>
            <w:vAlign w:val="center"/>
          </w:tcPr>
          <w:p>
            <w:pPr>
              <w:jc w:val="left"/>
              <w:rPr>
                <w:rFonts w:hint="eastAsia" w:ascii="宋体" w:hAnsi="宋体"/>
              </w:rPr>
            </w:pPr>
            <w:r>
              <w:rPr>
                <w:rFonts w:hint="eastAsia" w:ascii="宋体" w:hAnsi="宋体"/>
              </w:rPr>
              <w:t>四川银行定开系列3个月10号净值型理财产品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产品登记编码</w:t>
            </w:r>
          </w:p>
        </w:tc>
        <w:tc>
          <w:tcPr>
            <w:tcW w:w="5027" w:type="dxa"/>
            <w:vAlign w:val="center"/>
          </w:tcPr>
          <w:p>
            <w:pPr>
              <w:jc w:val="left"/>
              <w:rPr>
                <w:rFonts w:hint="eastAsia" w:ascii="宋体" w:hAnsi="宋体"/>
              </w:rPr>
            </w:pPr>
            <w:r>
              <w:rPr>
                <w:rFonts w:hint="eastAsia" w:ascii="宋体" w:hAnsi="宋体"/>
              </w:rPr>
              <w:t>C1438122000025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产品管理人</w:t>
            </w:r>
          </w:p>
        </w:tc>
        <w:tc>
          <w:tcPr>
            <w:tcW w:w="5027" w:type="dxa"/>
            <w:vAlign w:val="center"/>
          </w:tcPr>
          <w:p>
            <w:pPr>
              <w:jc w:val="left"/>
              <w:rPr>
                <w:rFonts w:hint="eastAsia" w:ascii="宋体" w:hAnsi="宋体"/>
              </w:rPr>
            </w:pPr>
            <w:r>
              <w:rPr>
                <w:rFonts w:hint="eastAsia" w:ascii="宋体" w:hAnsi="宋体"/>
              </w:rPr>
              <w:t>四川银行股份有限公司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产品托管人</w:t>
            </w:r>
          </w:p>
        </w:tc>
        <w:tc>
          <w:tcPr>
            <w:tcW w:w="5027" w:type="dxa"/>
            <w:vAlign w:val="center"/>
          </w:tcPr>
          <w:p>
            <w:pPr>
              <w:jc w:val="left"/>
              <w:rPr>
                <w:rFonts w:hint="eastAsia" w:ascii="宋体" w:hAnsi="宋体"/>
              </w:rPr>
            </w:pPr>
            <w:r>
              <w:rPr>
                <w:rFonts w:hint="eastAsia" w:ascii="宋体" w:hAnsi="宋体"/>
              </w:rPr>
              <w:t>招商银行股份有限公司成都分行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产品运作方式</w:t>
            </w:r>
          </w:p>
        </w:tc>
        <w:tc>
          <w:tcPr>
            <w:tcW w:w="5027" w:type="dxa"/>
            <w:vAlign w:val="center"/>
          </w:tcPr>
          <w:p>
            <w:pPr>
              <w:jc w:val="left"/>
              <w:rPr>
                <w:rFonts w:hint="eastAsia" w:ascii="宋体" w:hAnsi="宋体"/>
              </w:rPr>
            </w:pPr>
            <w:r>
              <w:rPr>
                <w:rFonts w:hint="eastAsia" w:ascii="宋体" w:hAnsi="宋体"/>
              </w:rPr>
              <w:t>公募定期开放式净值型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产品成立日</w:t>
            </w:r>
          </w:p>
        </w:tc>
        <w:tc>
          <w:tcPr>
            <w:tcW w:w="5027" w:type="dxa"/>
            <w:vAlign w:val="center"/>
          </w:tcPr>
          <w:p>
            <w:pPr>
              <w:jc w:val="left"/>
              <w:rPr>
                <w:rFonts w:hint="eastAsia" w:ascii="宋体" w:hAnsi="宋体"/>
              </w:rPr>
            </w:pPr>
            <w:r>
              <w:rPr>
                <w:rFonts w:hint="eastAsia" w:ascii="宋体" w:hAnsi="宋体"/>
              </w:rPr>
              <w:t>2022-06-09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产品到期日</w:t>
            </w:r>
          </w:p>
        </w:tc>
        <w:tc>
          <w:tcPr>
            <w:tcW w:w="5027" w:type="dxa"/>
            <w:vAlign w:val="center"/>
          </w:tcPr>
          <w:p>
            <w:pPr>
              <w:jc w:val="left"/>
              <w:rPr>
                <w:rFonts w:hint="eastAsia" w:ascii="宋体" w:hAnsi="宋体"/>
              </w:rPr>
            </w:pPr>
            <w:r>
              <w:rPr>
                <w:rFonts w:hint="eastAsia" w:ascii="宋体" w:hAnsi="宋体"/>
              </w:rPr>
              <w:t>9999-12-31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3838" w:type="dxa"/>
            <w:vAlign w:val="center"/>
          </w:tcPr>
          <w:p>
            <w:pPr>
              <w:jc w:val="left"/>
              <w:rPr>
                <w:rFonts w:hint="eastAsia" w:ascii="宋体" w:hAnsi="宋体"/>
                <w:szCs w:val="21"/>
              </w:rPr>
            </w:pPr>
            <w:r>
              <w:rPr>
                <w:rFonts w:hint="eastAsia" w:ascii="宋体" w:hAnsi="宋体"/>
                <w:szCs w:val="21"/>
              </w:rPr>
              <w:t>报告期末产品份额总额</w:t>
            </w:r>
          </w:p>
        </w:tc>
        <w:tc>
          <w:tcPr>
            <w:tcW w:w="5027" w:type="dxa"/>
            <w:vAlign w:val="center"/>
          </w:tcPr>
          <w:p>
            <w:pPr>
              <w:jc w:val="left"/>
              <w:rPr>
                <w:rFonts w:hint="eastAsia" w:ascii="宋体" w:hAnsi="宋体"/>
              </w:rPr>
            </w:pPr>
            <w:bookmarkStart w:id="0" w:name="OLE_LINK1"/>
            <w:r>
              <w:rPr>
                <w:rFonts w:hint="eastAsia" w:ascii="宋体" w:hAnsi="宋体"/>
              </w:rPr>
              <w:t>563,662,500.00</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rPr>
              <w:t>业绩比较基准（如有）</w:t>
            </w:r>
          </w:p>
        </w:tc>
        <w:tc>
          <w:tcPr>
            <w:tcW w:w="5027" w:type="dxa"/>
            <w:vAlign w:val="center"/>
          </w:tcPr>
          <w:p>
            <w:pPr>
              <w:jc w:val="left"/>
              <w:rPr>
                <w:rFonts w:hint="eastAsia" w:ascii="宋体" w:hAnsi="宋体"/>
              </w:rPr>
            </w:pPr>
            <w:r>
              <w:rPr>
                <w:rFonts w:hint="eastAsia" w:ascii="宋体" w:hAnsi="宋体"/>
              </w:rPr>
              <w:t>[2.2%-3.2%]/年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rPr>
            </w:pPr>
            <w:r>
              <w:rPr>
                <w:rFonts w:hint="eastAsia" w:ascii="宋体" w:hAnsi="宋体"/>
                <w:szCs w:val="21"/>
                <w:highlight w:val="none"/>
                <w:lang w:val="en-US" w:eastAsia="zh-CN"/>
              </w:rPr>
              <w:t>期末杠杆水平</w:t>
            </w:r>
          </w:p>
        </w:tc>
        <w:tc>
          <w:tcPr>
            <w:tcW w:w="5027" w:type="dxa"/>
            <w:vAlign w:val="center"/>
          </w:tcPr>
          <w:p>
            <w:pPr>
              <w:jc w:val="left"/>
              <w:rPr>
                <w:rFonts w:hint="eastAsia" w:ascii="宋体" w:hAnsi="宋体"/>
              </w:rPr>
            </w:pPr>
            <w:r>
              <w:rPr>
                <w:rFonts w:hint="eastAsia" w:ascii="宋体" w:hAnsi="宋体"/>
                <w:lang w:val="en-US" w:eastAsia="zh-CN"/>
              </w:rPr>
              <w:t>104.22%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rPr>
              <w:t>估值方法</w:t>
            </w:r>
          </w:p>
        </w:tc>
        <w:tc>
          <w:tcPr>
            <w:tcW w:w="5027" w:type="dxa"/>
            <w:vAlign w:val="center"/>
          </w:tcPr>
          <w:p>
            <w:pPr>
              <w:jc w:val="left"/>
              <w:rPr>
                <w:rFonts w:hint="eastAsia" w:ascii="宋体" w:hAnsi="宋体"/>
                <w:lang w:val="en-US" w:eastAsia="zh-CN"/>
              </w:rPr>
            </w:pPr>
            <w:r>
              <w:rPr>
                <w:rFonts w:hint="eastAsia" w:ascii="宋体" w:hAnsi="宋体"/>
              </w:rPr>
              <w:t>市值法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托管户户名</w:t>
            </w:r>
          </w:p>
        </w:tc>
        <w:tc>
          <w:tcPr>
            <w:tcW w:w="5027" w:type="dxa"/>
            <w:vAlign w:val="center"/>
          </w:tcPr>
          <w:p>
            <w:pPr>
              <w:jc w:val="left"/>
              <w:rPr>
                <w:rFonts w:hint="eastAsia" w:ascii="宋体" w:hAnsi="宋体"/>
                <w:lang w:val="en-US" w:eastAsia="zh-CN"/>
              </w:rPr>
            </w:pPr>
            <w:r>
              <w:rPr>
                <w:rFonts w:hint="eastAsia" w:ascii="宋体" w:hAnsi="宋体"/>
              </w:rPr>
              <w:t>四川银行-四川银行定开系列3个月10号净值型理财产品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托管户账户账号</w:t>
            </w:r>
          </w:p>
        </w:tc>
        <w:tc>
          <w:tcPr>
            <w:tcW w:w="5027" w:type="dxa"/>
            <w:vAlign w:val="center"/>
          </w:tcPr>
          <w:p>
            <w:pPr>
              <w:jc w:val="left"/>
              <w:rPr>
                <w:rFonts w:hint="eastAsia" w:ascii="宋体" w:hAnsi="宋体"/>
                <w:lang w:val="en-US" w:eastAsia="zh-CN"/>
              </w:rPr>
            </w:pPr>
            <w:r>
              <w:rPr>
                <w:rFonts w:hint="eastAsia" w:ascii="宋体" w:hAnsi="宋体"/>
              </w:rPr>
              <w:t>128912158810235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jc w:val="left"/>
              <w:rPr>
                <w:rFonts w:hint="eastAsia" w:ascii="宋体" w:hAnsi="宋体"/>
                <w:szCs w:val="21"/>
                <w:lang w:val="en-US" w:eastAsia="zh-CN"/>
              </w:rPr>
            </w:pPr>
            <w:r>
              <w:rPr>
                <w:rFonts w:hint="eastAsia" w:ascii="宋体" w:hAnsi="宋体"/>
                <w:szCs w:val="21"/>
                <w:lang w:val="en-US" w:eastAsia="zh-CN"/>
              </w:rPr>
              <w:t>托管户账户开户行</w:t>
            </w:r>
          </w:p>
        </w:tc>
        <w:tc>
          <w:tcPr>
            <w:tcW w:w="5027" w:type="dxa"/>
            <w:vAlign w:val="center"/>
          </w:tcPr>
          <w:p>
            <w:pPr>
              <w:jc w:val="left"/>
              <w:rPr>
                <w:rFonts w:hint="eastAsia" w:ascii="宋体" w:hAnsi="宋体"/>
              </w:rPr>
            </w:pPr>
            <w:r>
              <w:rPr>
                <w:rFonts w:hint="eastAsia" w:ascii="宋体" w:hAnsi="宋体"/>
              </w:rPr>
              <w:t>招商银行成都分行营业部</w:t>
            </w:r>
          </w:p>
        </w:tc>
      </w:tr>
    </w:tbl>
    <w:p>
      <w:pPr>
        <w:pStyle w:val="40"/>
        <w:rPr>
          <w:lang w:eastAsia="zh-CN"/>
        </w:rPr>
      </w:pPr>
      <w:r>
        <w:rPr>
          <w:rFonts w:hint="eastAsia"/>
        </w:rPr>
        <w:t>产品</w:t>
      </w:r>
      <w:r>
        <w:rPr>
          <w:rFonts w:hint="eastAsia"/>
          <w:lang w:eastAsia="zh-CN"/>
        </w:rPr>
        <w:t>收益</w:t>
      </w:r>
      <w:r>
        <w:rPr>
          <w:rFonts w:hint="eastAsia"/>
        </w:rPr>
        <w:t>表现</w:t>
      </w:r>
    </w:p>
    <w:tbl>
      <w:tblPr>
        <w:tblStyle w:val="17"/>
        <w:tblW w:w="8956" w:type="dxa"/>
        <w:tblInd w:w="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53"/>
        <w:gridCol w:w="5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3853" w:type="dxa"/>
            <w:shd w:val="clear" w:color="auto" w:fill="D9D9D9"/>
            <w:vAlign w:val="center"/>
          </w:tcPr>
          <w:p>
            <w:pPr>
              <w:jc w:val="center"/>
              <w:rPr>
                <w:rFonts w:ascii="宋体" w:hAnsi="宋体"/>
                <w:b/>
              </w:rPr>
            </w:pPr>
            <w:r>
              <w:rPr>
                <w:rFonts w:hint="eastAsia"/>
                <w:b/>
              </w:rPr>
              <w:t>阶段</w:t>
            </w:r>
          </w:p>
        </w:tc>
        <w:tc>
          <w:tcPr>
            <w:tcW w:w="5103" w:type="dxa"/>
            <w:shd w:val="clear" w:color="auto" w:fill="D9D9D9"/>
            <w:vAlign w:val="center"/>
          </w:tcPr>
          <w:p>
            <w:pPr>
              <w:jc w:val="center"/>
              <w:rPr>
                <w:rFonts w:ascii="宋体" w:hAnsi="宋体"/>
                <w:b/>
              </w:rPr>
            </w:pPr>
            <w:r>
              <w:rPr>
                <w:b/>
              </w:rPr>
              <w:t>净值增长率</w:t>
            </w:r>
            <w:r>
              <w:rPr>
                <w:rFonts w:hint="eastAsia"/>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当期（</w:t>
            </w:r>
            <w:r>
              <w:rPr>
                <w:rFonts w:ascii="宋体" w:hAnsi="宋体"/>
              </w:rPr>
              <w:t>2025-10-01</w:t>
            </w:r>
            <w:r>
              <w:rPr>
                <w:rFonts w:hint="eastAsia" w:ascii="宋体" w:hAnsi="宋体"/>
              </w:rPr>
              <w:t>至</w:t>
            </w:r>
            <w:r>
              <w:rPr>
                <w:rFonts w:ascii="宋体" w:hAnsi="宋体"/>
              </w:rPr>
              <w:t>2025-12-31</w:t>
            </w:r>
            <w:r>
              <w:rPr>
                <w:rFonts w:hint="eastAsia" w:ascii="宋体" w:hAnsi="宋体"/>
              </w:rPr>
              <w:t>）</w:t>
            </w:r>
          </w:p>
        </w:tc>
        <w:tc>
          <w:tcPr>
            <w:tcW w:w="5103" w:type="dxa"/>
            <w:vAlign w:val="center"/>
          </w:tcPr>
          <w:p>
            <w:pPr>
              <w:jc w:val="right"/>
            </w:pPr>
            <w:r>
              <w:t>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3853" w:type="dxa"/>
            <w:vAlign w:val="center"/>
          </w:tcPr>
          <w:p>
            <w:pPr>
              <w:jc w:val="center"/>
              <w:rPr>
                <w:rFonts w:ascii="宋体" w:hAnsi="宋体"/>
              </w:rPr>
            </w:pPr>
            <w:r>
              <w:rPr>
                <w:rFonts w:hint="eastAsia" w:ascii="宋体" w:hAnsi="宋体"/>
              </w:rPr>
              <w:t>自产品成立日至今</w:t>
            </w:r>
          </w:p>
        </w:tc>
        <w:tc>
          <w:tcPr>
            <w:tcW w:w="5103" w:type="dxa"/>
            <w:vAlign w:val="center"/>
          </w:tcPr>
          <w:p>
            <w:pPr>
              <w:jc w:val="right"/>
            </w:pPr>
            <w:r>
              <w:t>10.65</w:t>
            </w:r>
            <w:bookmarkStart w:id="1" w:name="OLE_LINK7"/>
            <w:bookmarkEnd w:id="1"/>
            <w:bookmarkStart w:id="2" w:name="OLE_LINK4"/>
            <w:bookmarkEnd w:id="2"/>
          </w:p>
        </w:tc>
      </w:tr>
    </w:tbl>
    <w:p>
      <w:pPr>
        <w:spacing w:line="360" w:lineRule="auto"/>
        <w:ind w:left="420" w:leftChars="200"/>
        <w:jc w:val="left"/>
        <w:rPr>
          <w:rFonts w:ascii="宋体" w:hAnsi="宋体"/>
          <w:sz w:val="24"/>
        </w:rPr>
      </w:pPr>
      <w:r>
        <w:rPr>
          <w:rFonts w:ascii="宋体" w:hAnsi="宋体"/>
          <w:sz w:val="24"/>
        </w:rPr>
        <w:t xml:space="preserve"> </w:t>
      </w:r>
    </w:p>
    <w:p>
      <w:pPr>
        <w:pStyle w:val="40"/>
      </w:pPr>
      <w:r>
        <w:rPr>
          <w:rFonts w:hint="eastAsia"/>
        </w:rPr>
        <w:t>主要财务指标</w:t>
      </w:r>
    </w:p>
    <w:p>
      <w:pPr>
        <w:jc w:val="right"/>
        <w:rPr>
          <w:rFonts w:ascii="宋体" w:hAnsi="宋体"/>
        </w:rPr>
      </w:pPr>
      <w:r>
        <w:rPr>
          <w:rFonts w:hint="eastAsia" w:ascii="宋体" w:hAnsi="宋体"/>
        </w:rPr>
        <w:t>金额单位：元</w:t>
      </w:r>
    </w:p>
    <w:tbl>
      <w:tblPr>
        <w:tblStyle w:val="17"/>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38"/>
        <w:gridCol w:w="5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3838" w:type="dxa"/>
            <w:shd w:val="clear" w:color="auto" w:fill="D9D9D9"/>
            <w:vAlign w:val="center"/>
          </w:tcPr>
          <w:p>
            <w:pPr>
              <w:jc w:val="left"/>
              <w:rPr>
                <w:rFonts w:ascii="宋体" w:hAnsi="宋体"/>
                <w:b/>
              </w:rPr>
            </w:pPr>
            <w:r>
              <w:rPr>
                <w:rFonts w:hint="eastAsia"/>
                <w:b/>
                <w:bCs/>
              </w:rPr>
              <w:t>项目</w:t>
            </w:r>
          </w:p>
        </w:tc>
        <w:tc>
          <w:tcPr>
            <w:tcW w:w="5027" w:type="dxa"/>
            <w:shd w:val="clear" w:color="auto" w:fill="D9D9D9"/>
            <w:vAlign w:val="center"/>
          </w:tcPr>
          <w:p>
            <w:pPr>
              <w:jc w:val="left"/>
              <w:rPr>
                <w:b/>
              </w:rPr>
            </w:pPr>
            <w:r>
              <w:rPr>
                <w:b/>
              </w:rPr>
              <w:t>2025-10-01</w:t>
            </w:r>
            <w:r>
              <w:rPr>
                <w:rFonts w:hint="eastAsia"/>
                <w:b/>
              </w:rPr>
              <w:t xml:space="preserve">至 </w:t>
            </w:r>
            <w:r>
              <w:rPr>
                <w:b/>
              </w:rPr>
              <w:t>2025-12-31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ascii="宋体" w:hAnsi="宋体"/>
              </w:rPr>
            </w:pPr>
            <w:r>
              <w:rPr>
                <w:rFonts w:hint="eastAsia" w:ascii="宋体" w:hAnsi="宋体"/>
                <w:szCs w:val="21"/>
              </w:rPr>
              <w:t>本期已实现收益</w:t>
            </w:r>
          </w:p>
        </w:tc>
        <w:tc>
          <w:tcPr>
            <w:tcW w:w="5027" w:type="dxa"/>
            <w:vAlign w:val="center"/>
          </w:tcPr>
          <w:p>
            <w:pPr>
              <w:jc w:val="right"/>
            </w:pPr>
            <w:r>
              <w:t>2,198,047.56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本期利润</w:t>
            </w:r>
          </w:p>
        </w:tc>
        <w:tc>
          <w:tcPr>
            <w:tcW w:w="5027" w:type="dxa"/>
            <w:shd w:val="clear" w:color="auto" w:fill="auto"/>
            <w:vAlign w:val="center"/>
          </w:tcPr>
          <w:p>
            <w:pPr>
              <w:ind w:hanging="1"/>
              <w:jc w:val="right"/>
            </w:pPr>
            <w:r>
              <w:rPr>
                <w:b w:val="0"/>
                <w:i w:val="0"/>
                <w:strike w:val="0"/>
                <w:u w:val="none"/>
              </w:rPr>
              <w:t>3,327,315.57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期末产品资产净值</w:t>
            </w:r>
          </w:p>
        </w:tc>
        <w:tc>
          <w:tcPr>
            <w:tcW w:w="5027" w:type="dxa"/>
            <w:shd w:val="clear" w:color="auto" w:fill="auto"/>
            <w:vAlign w:val="center"/>
          </w:tcPr>
          <w:p>
            <w:pPr>
              <w:ind w:hanging="1"/>
              <w:jc w:val="right"/>
            </w:pPr>
            <w:r>
              <w:rPr>
                <w:b w:val="0"/>
                <w:i w:val="0"/>
                <w:strike w:val="0"/>
                <w:u w:val="none"/>
              </w:rPr>
              <w:t>564,613,776.99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shd w:val="clear" w:color="auto" w:fill="auto"/>
            <w:vAlign w:val="center"/>
          </w:tcPr>
          <w:p>
            <w:pPr>
              <w:ind w:hanging="1"/>
              <w:jc w:val="left"/>
              <w:rPr>
                <w:rFonts w:ascii="宋体" w:hAnsi="宋体"/>
              </w:rPr>
            </w:pPr>
            <w:r>
              <w:rPr>
                <w:rFonts w:hint="eastAsia" w:ascii="宋体" w:hAnsi="宋体"/>
                <w:b w:val="0"/>
                <w:i w:val="0"/>
                <w:strike w:val="0"/>
                <w:u w:val="none"/>
              </w:rPr>
              <w:t>期末产品份额净值</w:t>
            </w:r>
          </w:p>
        </w:tc>
        <w:tc>
          <w:tcPr>
            <w:tcW w:w="5027" w:type="dxa"/>
            <w:shd w:val="clear" w:color="auto" w:fill="auto"/>
            <w:vAlign w:val="center"/>
          </w:tcPr>
          <w:p>
            <w:pPr>
              <w:ind w:hanging="1"/>
              <w:jc w:val="right"/>
            </w:pPr>
            <w:r>
              <w:rPr>
                <w:b w:val="0"/>
                <w:i w:val="0"/>
                <w:strike w:val="0"/>
                <w:u w:val="none"/>
              </w:rPr>
              <w:t>1.0017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lang w:val="en-US" w:eastAsia="zh-CN"/>
              </w:rPr>
              <w:t>期末累计单位净值</w:t>
            </w:r>
          </w:p>
        </w:tc>
        <w:tc>
          <w:tcPr>
            <w:tcW w:w="5027" w:type="dxa"/>
            <w:vAlign w:val="center"/>
          </w:tcPr>
          <w:p>
            <w:pPr>
              <w:jc w:val="right"/>
              <w:rPr>
                <w:rFonts w:hint="eastAsia"/>
                <w:lang w:val="en-US" w:eastAsia="zh-CN"/>
              </w:rPr>
            </w:pPr>
            <w:r>
              <w:rPr>
                <w:rFonts w:hint="eastAsia"/>
              </w:rPr>
              <w:t>1.1065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期末最后一个市场交易日资产净值</w:t>
            </w:r>
          </w:p>
        </w:tc>
        <w:tc>
          <w:tcPr>
            <w:tcW w:w="5027" w:type="dxa"/>
            <w:vAlign w:val="center"/>
          </w:tcPr>
          <w:p>
            <w:pPr>
              <w:jc w:val="right"/>
              <w:rPr>
                <w:rFonts w:hint="eastAsia"/>
                <w:lang w:val="en-US" w:eastAsia="zh-CN"/>
              </w:rPr>
            </w:pPr>
            <w:r>
              <w:rPr>
                <w:rFonts w:hint="eastAsia"/>
              </w:rPr>
              <w:t>564,613,776.99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份额</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1.0017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838" w:type="dxa"/>
            <w:vAlign w:val="center"/>
          </w:tcPr>
          <w:p>
            <w:pPr>
              <w:rPr>
                <w:rFonts w:hint="eastAsia" w:ascii="宋体" w:hAnsi="宋体"/>
                <w:szCs w:val="21"/>
                <w:lang w:val="en-US" w:eastAsia="zh-CN"/>
              </w:rPr>
            </w:pPr>
            <w:r>
              <w:rPr>
                <w:rFonts w:hint="eastAsia" w:ascii="宋体" w:hAnsi="宋体"/>
                <w:szCs w:val="21"/>
              </w:rPr>
              <w:t>期末最后一个市场交易日</w:t>
            </w:r>
            <w:r>
              <w:rPr>
                <w:rFonts w:hint="eastAsia" w:ascii="宋体" w:hAnsi="宋体"/>
                <w:szCs w:val="21"/>
                <w:lang w:val="en-US" w:eastAsia="zh-CN"/>
              </w:rPr>
              <w:t>累计单位</w:t>
            </w:r>
            <w:r>
              <w:rPr>
                <w:rFonts w:hint="eastAsia" w:ascii="宋体" w:hAnsi="宋体"/>
                <w:szCs w:val="21"/>
              </w:rPr>
              <w:t>净值</w:t>
            </w:r>
          </w:p>
        </w:tc>
        <w:tc>
          <w:tcPr>
            <w:tcW w:w="5027" w:type="dxa"/>
            <w:vAlign w:val="center"/>
          </w:tcPr>
          <w:p>
            <w:pPr>
              <w:jc w:val="right"/>
              <w:rPr>
                <w:rFonts w:hint="eastAsia"/>
                <w:lang w:val="en-US" w:eastAsia="zh-CN"/>
              </w:rPr>
            </w:pPr>
            <w:r>
              <w:rPr>
                <w:rFonts w:hint="eastAsia"/>
              </w:rPr>
              <w:t>1.1065</w:t>
            </w:r>
          </w:p>
        </w:tc>
      </w:tr>
    </w:tbl>
    <w:p>
      <w:pPr>
        <w:tabs>
          <w:tab w:val="left" w:pos="3135"/>
        </w:tabs>
        <w:ind w:left="420" w:leftChars="200"/>
      </w:pPr>
    </w:p>
    <w:p>
      <w:pPr>
        <w:pStyle w:val="40"/>
      </w:pPr>
      <w:r>
        <w:rPr>
          <w:rFonts w:hint="eastAsia"/>
        </w:rPr>
        <w:t>投资组合情况及</w:t>
      </w:r>
      <w:r>
        <w:t>流动性风险分析</w:t>
      </w: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9"/>
        <w:keepNext/>
        <w:keepLines/>
        <w:numPr>
          <w:ilvl w:val="0"/>
          <w:numId w:val="2"/>
        </w:numPr>
        <w:spacing w:before="156" w:beforeLines="50" w:after="156" w:afterLines="50"/>
        <w:ind w:firstLineChars="0"/>
        <w:jc w:val="left"/>
        <w:outlineLvl w:val="1"/>
        <w:rPr>
          <w:rFonts w:ascii="Cambria" w:hAnsi="Cambria"/>
          <w:bCs/>
          <w:vanish/>
          <w:kern w:val="28"/>
          <w:sz w:val="24"/>
          <w:szCs w:val="32"/>
          <w:lang w:val="zh-CN" w:eastAsia="zh-CN"/>
        </w:rPr>
      </w:pPr>
    </w:p>
    <w:p>
      <w:pPr>
        <w:pStyle w:val="41"/>
        <w:spacing w:before="156" w:after="156"/>
      </w:pPr>
      <w:r>
        <w:rPr>
          <w:rFonts w:hint="eastAsia"/>
          <w:b w:val="0"/>
        </w:rPr>
        <w:t>期末资产组合情况</w:t>
      </w:r>
    </w:p>
    <w:p>
      <w:pPr>
        <w:jc w:val="right"/>
      </w:pPr>
    </w:p>
    <w:p>
      <w:pPr>
        <w:jc w:val="right"/>
      </w:pPr>
    </w:p>
    <w:p>
      <w:pPr>
        <w:jc w:val="right"/>
      </w:pPr>
      <w:r>
        <w:rPr>
          <w:rFonts w:hint="eastAsia"/>
        </w:rPr>
        <w:t>金额单位：元</w:t>
      </w:r>
    </w:p>
    <w:tbl>
      <w:tblPr>
        <w:tblStyle w:val="17"/>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1"/>
        <w:gridCol w:w="1447"/>
        <w:gridCol w:w="1697"/>
        <w:gridCol w:w="1749"/>
        <w:gridCol w:w="1653"/>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restart"/>
            <w:shd w:val="clear" w:color="auto" w:fill="D9D9D9"/>
            <w:vAlign w:val="center"/>
          </w:tcPr>
          <w:p>
            <w:pPr>
              <w:jc w:val="center"/>
              <w:rPr>
                <w:rFonts w:ascii="宋体" w:hAnsi="宋体"/>
                <w:b/>
                <w:szCs w:val="21"/>
              </w:rPr>
            </w:pPr>
            <w:r>
              <w:rPr>
                <w:rFonts w:hint="eastAsia" w:ascii="宋体" w:hAnsi="宋体"/>
                <w:b/>
                <w:szCs w:val="21"/>
              </w:rPr>
              <w:t>序号</w:t>
            </w:r>
          </w:p>
        </w:tc>
        <w:tc>
          <w:tcPr>
            <w:tcW w:w="1447" w:type="dxa"/>
            <w:vMerge w:val="restart"/>
            <w:shd w:val="clear" w:color="auto" w:fill="D9D9D9"/>
            <w:vAlign w:val="center"/>
          </w:tcPr>
          <w:p>
            <w:pPr>
              <w:jc w:val="center"/>
              <w:rPr>
                <w:rFonts w:ascii="宋体" w:hAnsi="宋体"/>
                <w:b/>
                <w:szCs w:val="21"/>
              </w:rPr>
            </w:pPr>
            <w:r>
              <w:rPr>
                <w:rFonts w:hint="eastAsia" w:ascii="宋体" w:hAnsi="宋体"/>
                <w:b/>
                <w:szCs w:val="21"/>
              </w:rPr>
              <w:t>项目</w:t>
            </w:r>
          </w:p>
        </w:tc>
        <w:tc>
          <w:tcPr>
            <w:tcW w:w="3446" w:type="dxa"/>
            <w:gridSpan w:val="2"/>
            <w:shd w:val="clear" w:color="auto" w:fill="D9D9D9"/>
            <w:vAlign w:val="center"/>
          </w:tcPr>
          <w:p>
            <w:pPr>
              <w:jc w:val="center"/>
              <w:rPr>
                <w:rFonts w:ascii="宋体" w:hAnsi="宋体"/>
                <w:b/>
                <w:szCs w:val="21"/>
              </w:rPr>
            </w:pPr>
            <w:r>
              <w:rPr>
                <w:rFonts w:hint="eastAsia" w:ascii="宋体" w:hAnsi="宋体"/>
                <w:b/>
                <w:szCs w:val="21"/>
              </w:rPr>
              <w:t>直接</w:t>
            </w:r>
            <w:r>
              <w:rPr>
                <w:rFonts w:ascii="宋体" w:hAnsi="宋体"/>
                <w:b/>
                <w:szCs w:val="21"/>
              </w:rPr>
              <w:t>投资</w:t>
            </w:r>
          </w:p>
        </w:tc>
        <w:tc>
          <w:tcPr>
            <w:tcW w:w="3358" w:type="dxa"/>
            <w:gridSpan w:val="2"/>
            <w:shd w:val="clear" w:color="auto" w:fill="D9D9D9"/>
            <w:vAlign w:val="center"/>
          </w:tcPr>
          <w:p>
            <w:pPr>
              <w:jc w:val="center"/>
              <w:rPr>
                <w:rFonts w:ascii="宋体" w:hAnsi="宋体"/>
                <w:b/>
                <w:szCs w:val="21"/>
              </w:rPr>
            </w:pPr>
            <w:r>
              <w:rPr>
                <w:rFonts w:hint="eastAsia" w:ascii="宋体" w:hAnsi="宋体"/>
                <w:b/>
                <w:szCs w:val="21"/>
              </w:rPr>
              <w:t>间接</w:t>
            </w:r>
            <w:r>
              <w:rPr>
                <w:rFonts w:ascii="宋体" w:hAnsi="宋体"/>
                <w:b/>
                <w:szCs w:val="21"/>
              </w:rPr>
              <w:t>投资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611" w:type="dxa"/>
            <w:vMerge w:val="continue"/>
            <w:shd w:val="clear" w:color="auto" w:fill="D9D9D9"/>
            <w:vAlign w:val="center"/>
          </w:tcPr>
          <w:p>
            <w:pPr>
              <w:jc w:val="center"/>
              <w:rPr>
                <w:rFonts w:ascii="宋体" w:hAnsi="宋体"/>
                <w:b/>
                <w:szCs w:val="21"/>
              </w:rPr>
            </w:pPr>
          </w:p>
        </w:tc>
        <w:tc>
          <w:tcPr>
            <w:tcW w:w="1447" w:type="dxa"/>
            <w:vMerge w:val="continue"/>
            <w:shd w:val="clear" w:color="auto" w:fill="D9D9D9"/>
            <w:vAlign w:val="center"/>
          </w:tcPr>
          <w:p>
            <w:pPr>
              <w:jc w:val="center"/>
              <w:rPr>
                <w:rFonts w:ascii="宋体" w:hAnsi="宋体"/>
                <w:b/>
                <w:szCs w:val="21"/>
              </w:rPr>
            </w:pPr>
          </w:p>
        </w:tc>
        <w:tc>
          <w:tcPr>
            <w:tcW w:w="1697" w:type="dxa"/>
            <w:shd w:val="clear" w:color="auto" w:fill="D9D9D9"/>
            <w:vAlign w:val="center"/>
          </w:tcPr>
          <w:p>
            <w:pPr>
              <w:jc w:val="center"/>
              <w:rPr>
                <w:rFonts w:ascii="宋体" w:hAnsi="宋体"/>
                <w:b/>
                <w:szCs w:val="21"/>
              </w:rPr>
            </w:pPr>
            <w:r>
              <w:rPr>
                <w:rFonts w:hint="eastAsia" w:ascii="宋体" w:hAnsi="宋体"/>
                <w:b/>
                <w:szCs w:val="21"/>
              </w:rPr>
              <w:t>金额</w:t>
            </w:r>
          </w:p>
        </w:tc>
        <w:tc>
          <w:tcPr>
            <w:tcW w:w="1749" w:type="dxa"/>
            <w:shd w:val="clear" w:color="auto" w:fill="D9D9D9"/>
            <w:vAlign w:val="center"/>
          </w:tcPr>
          <w:p>
            <w:pPr>
              <w:jc w:val="center"/>
              <w:rPr>
                <w:rFonts w:ascii="宋体" w:hAnsi="宋体"/>
                <w:b/>
                <w:szCs w:val="21"/>
              </w:rPr>
            </w:pPr>
            <w:r>
              <w:rPr>
                <w:rFonts w:hint="eastAsia" w:ascii="宋体" w:hAnsi="宋体"/>
                <w:b/>
                <w:szCs w:val="21"/>
              </w:rPr>
              <w:t>占产品总资产的比例（%）</w:t>
            </w:r>
          </w:p>
        </w:tc>
        <w:tc>
          <w:tcPr>
            <w:tcW w:w="1653" w:type="dxa"/>
            <w:shd w:val="clear" w:color="auto" w:fill="D9D9D9"/>
            <w:vAlign w:val="center"/>
          </w:tcPr>
          <w:p>
            <w:pPr>
              <w:jc w:val="center"/>
              <w:rPr>
                <w:rFonts w:ascii="宋体" w:hAnsi="宋体"/>
                <w:b/>
                <w:szCs w:val="21"/>
              </w:rPr>
            </w:pPr>
            <w:r>
              <w:rPr>
                <w:rFonts w:hint="eastAsia" w:ascii="宋体" w:hAnsi="宋体"/>
                <w:b/>
                <w:szCs w:val="21"/>
              </w:rPr>
              <w:t>金额</w:t>
            </w:r>
          </w:p>
        </w:tc>
        <w:tc>
          <w:tcPr>
            <w:tcW w:w="1705" w:type="dxa"/>
            <w:shd w:val="clear" w:color="auto" w:fill="D9D9D9"/>
          </w:tcPr>
          <w:p>
            <w:pPr>
              <w:jc w:val="center"/>
              <w:rPr>
                <w:rFonts w:ascii="宋体" w:hAnsi="宋体"/>
                <w:b/>
                <w:szCs w:val="21"/>
              </w:rPr>
            </w:pPr>
            <w:r>
              <w:rPr>
                <w:rFonts w:hint="eastAsia" w:ascii="宋体" w:hAnsi="宋体"/>
                <w:b/>
                <w:szCs w:val="21"/>
              </w:rPr>
              <w:t>占产品总资产的比例（%）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权益投资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其中：普通股</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存托凭证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2</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基金投资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3</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固定收益投资</w:t>
            </w:r>
          </w:p>
        </w:tc>
        <w:tc>
          <w:tcPr>
            <w:tcW w:w="1697" w:type="dxa"/>
            <w:shd w:val="clear" w:color="auto" w:fill="auto"/>
            <w:vAlign w:val="center"/>
          </w:tcPr>
          <w:p>
            <w:pPr>
              <w:jc w:val="right"/>
            </w:pPr>
            <w:r>
              <w:t>531,293,427.47</w:t>
            </w:r>
          </w:p>
        </w:tc>
        <w:tc>
          <w:tcPr>
            <w:tcW w:w="1749" w:type="dxa"/>
            <w:shd w:val="clear" w:color="auto" w:fill="auto"/>
            <w:vAlign w:val="center"/>
          </w:tcPr>
          <w:p>
            <w:pPr>
              <w:jc w:val="right"/>
            </w:pPr>
            <w:r>
              <w:t>90.29</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nil"/>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其中：债券</w:t>
            </w:r>
          </w:p>
        </w:tc>
        <w:tc>
          <w:tcPr>
            <w:tcW w:w="1697" w:type="dxa"/>
            <w:shd w:val="clear" w:color="auto" w:fill="auto"/>
            <w:vAlign w:val="center"/>
          </w:tcPr>
          <w:p>
            <w:pPr>
              <w:jc w:val="right"/>
            </w:pPr>
            <w:r>
              <w:t>531,293,427.47</w:t>
            </w:r>
          </w:p>
        </w:tc>
        <w:tc>
          <w:tcPr>
            <w:tcW w:w="1749" w:type="dxa"/>
            <w:shd w:val="clear" w:color="auto" w:fill="auto"/>
            <w:vAlign w:val="center"/>
          </w:tcPr>
          <w:p>
            <w:pPr>
              <w:jc w:val="right"/>
            </w:pPr>
            <w:r>
              <w:t>90.29</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资产支持证券</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4</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金融衍生品投资</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其中：远期</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期货</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xml:space="preserve">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期权</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 xml:space="preserve">      权证</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5</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买入返售金融资产</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　</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其中：买断式回购的买入返售金融资产</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货币市场工具</w:t>
            </w:r>
          </w:p>
        </w:tc>
        <w:tc>
          <w:tcPr>
            <w:tcW w:w="1697" w:type="dxa"/>
            <w:shd w:val="clear" w:color="auto" w:fill="auto"/>
            <w:vAlign w:val="center"/>
          </w:tcPr>
          <w:p>
            <w:pPr>
              <w:jc w:val="right"/>
            </w:pPr>
          </w:p>
        </w:tc>
        <w:tc>
          <w:tcPr>
            <w:tcW w:w="1749" w:type="dxa"/>
            <w:shd w:val="clear" w:color="auto" w:fill="auto"/>
            <w:vAlign w:val="center"/>
          </w:tcPr>
          <w:p>
            <w:pPr>
              <w:jc w:val="right"/>
            </w:pPr>
          </w:p>
        </w:tc>
        <w:tc>
          <w:tcPr>
            <w:tcW w:w="1653" w:type="dxa"/>
            <w:vAlign w:val="center"/>
          </w:tcPr>
          <w:p>
            <w:pPr>
              <w:jc w:val="right"/>
            </w:pPr>
          </w:p>
        </w:tc>
        <w:tc>
          <w:tcPr>
            <w:tcW w:w="1705" w:type="dxa"/>
            <w:vAlign w:val="center"/>
          </w:tcPr>
          <w:p>
            <w:pPr>
              <w:jc w:val="righ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7</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银行存款和结算备付金合计</w:t>
            </w:r>
          </w:p>
        </w:tc>
        <w:tc>
          <w:tcPr>
            <w:tcW w:w="1697" w:type="dxa"/>
            <w:shd w:val="clear" w:color="auto" w:fill="auto"/>
            <w:vAlign w:val="center"/>
          </w:tcPr>
          <w:p>
            <w:pPr>
              <w:jc w:val="right"/>
            </w:pPr>
            <w:r>
              <w:t>36,272,642.01</w:t>
            </w:r>
          </w:p>
        </w:tc>
        <w:tc>
          <w:tcPr>
            <w:tcW w:w="1749" w:type="dxa"/>
            <w:shd w:val="clear" w:color="auto" w:fill="auto"/>
            <w:vAlign w:val="center"/>
          </w:tcPr>
          <w:p>
            <w:pPr>
              <w:jc w:val="right"/>
            </w:pPr>
            <w:r>
              <w:t>6.16</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8</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拆放同业</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9</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资管</w:t>
            </w:r>
            <w:r>
              <w:rPr>
                <w:rFonts w:ascii="宋体" w:hAnsi="宋体" w:cs="宋体"/>
                <w:kern w:val="0"/>
                <w:sz w:val="22"/>
                <w:szCs w:val="22"/>
              </w:rPr>
              <w:t>产品</w:t>
            </w:r>
          </w:p>
        </w:tc>
        <w:tc>
          <w:tcPr>
            <w:tcW w:w="1697" w:type="dxa"/>
            <w:shd w:val="clear" w:color="auto" w:fill="auto"/>
            <w:vAlign w:val="center"/>
          </w:tcPr>
          <w:p>
            <w:pPr>
              <w:jc w:val="right"/>
            </w:pPr>
            <w:r>
              <w:t>0.00</w:t>
            </w:r>
          </w:p>
        </w:tc>
        <w:tc>
          <w:tcPr>
            <w:tcW w:w="1749" w:type="dxa"/>
            <w:shd w:val="clear" w:color="auto" w:fill="auto"/>
            <w:vAlign w:val="center"/>
          </w:tcPr>
          <w:p>
            <w:pPr>
              <w:jc w:val="right"/>
            </w:pPr>
            <w:r>
              <w:t>0.00</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ascii="宋体" w:hAnsi="宋体" w:cs="宋体"/>
                <w:kern w:val="0"/>
                <w:sz w:val="22"/>
                <w:szCs w:val="22"/>
              </w:rPr>
              <w:t>10</w:t>
            </w:r>
          </w:p>
        </w:tc>
        <w:tc>
          <w:tcPr>
            <w:tcW w:w="1447" w:type="dxa"/>
            <w:tcBorders>
              <w:top w:val="nil"/>
              <w:left w:val="nil"/>
              <w:bottom w:val="single" w:color="auto" w:sz="4" w:space="0"/>
              <w:right w:val="single" w:color="auto" w:sz="4" w:space="0"/>
            </w:tcBorders>
            <w:shd w:val="clear" w:color="auto" w:fill="auto"/>
            <w:vAlign w:val="center"/>
          </w:tcPr>
          <w:p>
            <w:pPr>
              <w:widowControl/>
              <w:rPr>
                <w:rFonts w:ascii="宋体" w:hAnsi="宋体" w:cs="宋体"/>
                <w:kern w:val="0"/>
                <w:sz w:val="22"/>
                <w:szCs w:val="22"/>
              </w:rPr>
            </w:pPr>
            <w:r>
              <w:rPr>
                <w:rFonts w:hint="eastAsia" w:ascii="宋体" w:hAnsi="宋体" w:cs="宋体"/>
                <w:kern w:val="0"/>
                <w:sz w:val="22"/>
                <w:szCs w:val="22"/>
              </w:rPr>
              <w:t>其他资产</w:t>
            </w:r>
          </w:p>
        </w:tc>
        <w:tc>
          <w:tcPr>
            <w:tcW w:w="1697" w:type="dxa"/>
            <w:shd w:val="clear" w:color="auto" w:fill="auto"/>
            <w:vAlign w:val="center"/>
          </w:tcPr>
          <w:p>
            <w:pPr>
              <w:jc w:val="right"/>
            </w:pPr>
            <w:r>
              <w:t>20,860,727.78</w:t>
            </w:r>
          </w:p>
        </w:tc>
        <w:tc>
          <w:tcPr>
            <w:tcW w:w="1749" w:type="dxa"/>
            <w:shd w:val="clear" w:color="auto" w:fill="auto"/>
            <w:vAlign w:val="center"/>
          </w:tcPr>
          <w:p>
            <w:pPr>
              <w:jc w:val="right"/>
            </w:pPr>
            <w:r>
              <w:t>3.55</w:t>
            </w:r>
          </w:p>
        </w:tc>
        <w:tc>
          <w:tcPr>
            <w:tcW w:w="1653" w:type="dxa"/>
            <w:vAlign w:val="center"/>
          </w:tcPr>
          <w:p>
            <w:pPr>
              <w:jc w:val="right"/>
            </w:pPr>
            <w:r>
              <w:t>0.00</w:t>
            </w:r>
          </w:p>
        </w:tc>
        <w:tc>
          <w:tcPr>
            <w:tcW w:w="1705" w:type="dxa"/>
            <w:vAlign w:val="center"/>
          </w:tcPr>
          <w:p>
            <w:pPr>
              <w:jc w:val="right"/>
            </w:pPr>
            <w: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1" w:type="dxa"/>
            <w:shd w:val="clear" w:color="auto" w:fill="auto"/>
          </w:tcPr>
          <w:p>
            <w:pPr>
              <w:jc w:val="left"/>
              <w:rPr>
                <w:rFonts w:ascii="宋体" w:hAnsi="宋体"/>
                <w:szCs w:val="21"/>
              </w:rPr>
            </w:pPr>
          </w:p>
        </w:tc>
        <w:tc>
          <w:tcPr>
            <w:tcW w:w="1447" w:type="dxa"/>
            <w:shd w:val="clear" w:color="auto" w:fill="auto"/>
          </w:tcPr>
          <w:p>
            <w:pPr>
              <w:jc w:val="left"/>
              <w:rPr>
                <w:rFonts w:ascii="宋体" w:hAnsi="宋体"/>
                <w:szCs w:val="21"/>
              </w:rPr>
            </w:pPr>
            <w:r>
              <w:rPr>
                <w:rFonts w:hint="eastAsia" w:ascii="宋体" w:hAnsi="宋体"/>
                <w:szCs w:val="21"/>
              </w:rPr>
              <w:t>合计</w:t>
            </w:r>
          </w:p>
        </w:tc>
        <w:tc>
          <w:tcPr>
            <w:tcW w:w="1697" w:type="dxa"/>
            <w:shd w:val="clear" w:color="auto" w:fill="auto"/>
          </w:tcPr>
          <w:p>
            <w:pPr>
              <w:jc w:val="right"/>
            </w:pPr>
            <w:r>
              <w:t>588,426,797.26</w:t>
            </w:r>
          </w:p>
        </w:tc>
        <w:tc>
          <w:tcPr>
            <w:tcW w:w="1749" w:type="dxa"/>
            <w:shd w:val="clear" w:color="auto" w:fill="auto"/>
          </w:tcPr>
          <w:p>
            <w:pPr>
              <w:jc w:val="right"/>
            </w:pPr>
            <w:r>
              <w:t>100.00</w:t>
            </w:r>
          </w:p>
        </w:tc>
        <w:tc>
          <w:tcPr>
            <w:tcW w:w="1653" w:type="dxa"/>
          </w:tcPr>
          <w:p>
            <w:pPr>
              <w:jc w:val="right"/>
            </w:pPr>
            <w:r>
              <w:t>0.00</w:t>
            </w:r>
          </w:p>
        </w:tc>
        <w:tc>
          <w:tcPr>
            <w:tcW w:w="1705" w:type="dxa"/>
          </w:tcPr>
          <w:p>
            <w:pPr>
              <w:jc w:val="right"/>
            </w:pPr>
            <w:r>
              <w:t>0.00</w:t>
            </w:r>
          </w:p>
        </w:tc>
      </w:tr>
    </w:tbl>
    <w:p>
      <w:pPr>
        <w:ind w:left="420" w:leftChars="200"/>
        <w:jc w:val="left"/>
        <w:rPr>
          <w:rFonts w:ascii="宋体" w:hAnsi="宋体"/>
          <w:sz w:val="24"/>
        </w:rPr>
      </w:pPr>
    </w:p>
    <w:p>
      <w:pPr>
        <w:ind w:left="420" w:leftChars="200"/>
        <w:jc w:val="left"/>
        <w:rPr>
          <w:rFonts w:asciiTheme="minorEastAsia" w:hAnsiTheme="minorEastAsia" w:eastAsiaTheme="minorEastAsia"/>
          <w:sz w:val="24"/>
        </w:rPr>
      </w:pPr>
    </w:p>
    <w:p>
      <w:pPr>
        <w:pStyle w:val="41"/>
        <w:spacing w:before="156" w:after="156"/>
        <w:rPr>
          <w:b w:val="0"/>
        </w:rPr>
      </w:pPr>
      <w:r>
        <w:rPr>
          <w:rFonts w:hint="eastAsia"/>
          <w:b w:val="0"/>
        </w:rPr>
        <w:t>投资</w:t>
      </w:r>
      <w:r>
        <w:rPr>
          <w:b w:val="0"/>
        </w:rPr>
        <w:t>组合流动</w:t>
      </w:r>
      <w:r>
        <w:rPr>
          <w:rFonts w:hint="eastAsia"/>
          <w:b w:val="0"/>
          <w:lang w:eastAsia="zh-CN"/>
        </w:rPr>
        <w:t>性</w:t>
      </w:r>
      <w:r>
        <w:rPr>
          <w:b w:val="0"/>
        </w:rPr>
        <w:t>风险分析</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asciiTheme="minorEastAsia" w:hAnsiTheme="minorEastAsia" w:eastAsiaTheme="minorEastAsia"/>
          <w:sz w:val="24"/>
          <w:highlight w:val="yellow"/>
        </w:rPr>
      </w:pPr>
      <w:r>
        <w:rPr>
          <w:rFonts w:hint="eastAsia" w:ascii="宋体" w:hAnsi="宋体"/>
          <w:sz w:val="24"/>
        </w:rPr>
        <w:t xml:space="preserve">  </w:t>
      </w:r>
      <w:r>
        <w:rPr>
          <w:rFonts w:hint="eastAsia" w:ascii="宋体" w:hAnsi="宋体"/>
          <w:szCs w:val="21"/>
        </w:rPr>
        <w:t xml:space="preserve"> 本产品主要投资范围为标准化资产，并保有一定流动性储备，整体流动性风险可控。本产品通过额度控制、事前预测、募集资金、正回购及变现高流动性资产的方式应对流动性风险。具体包括：一是跟踪资金申购赎回（或到期）情况，提前备付流动资金；二是根据产品的期限，合理安排投资资产剩余期限，预防流动性风险；三是产品持有一定比例的高流动性资产，赎回期（或到期）前主要通过储备的流动性或卖出资产变现，满足产品的流动性需求。</w:t>
      </w:r>
    </w:p>
    <w:p>
      <w:pPr>
        <w:widowControl/>
        <w:jc w:val="left"/>
        <w:rPr>
          <w:rFonts w:ascii="宋体" w:hAnsi="宋体"/>
          <w:sz w:val="24"/>
        </w:rPr>
      </w:pPr>
    </w:p>
    <w:p>
      <w:pPr>
        <w:pStyle w:val="41"/>
        <w:spacing w:before="156" w:after="156"/>
        <w:rPr>
          <w:b w:val="0"/>
        </w:rPr>
      </w:pPr>
      <w:r>
        <w:rPr>
          <w:rFonts w:hint="eastAsia"/>
          <w:b w:val="0"/>
        </w:rPr>
        <w:t>报告期末占资产净值比例大小排序的前十项资产</w:t>
      </w:r>
      <w:r>
        <w:rPr>
          <w:b w:val="0"/>
        </w:rPr>
        <w:t>明细</w:t>
      </w:r>
    </w:p>
    <w:p>
      <w:pPr>
        <w:jc w:val="right"/>
        <w:rPr>
          <w:rFonts w:ascii="宋体" w:hAnsi="宋体"/>
        </w:rPr>
      </w:pPr>
      <w:r>
        <w:rPr>
          <w:rFonts w:hint="eastAsia" w:ascii="宋体" w:hAnsi="宋体"/>
        </w:rPr>
        <w:t>金额单位：元</w:t>
      </w:r>
    </w:p>
    <w:tbl>
      <w:tblPr>
        <w:tblStyle w:val="1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3159"/>
        <w:gridCol w:w="2693"/>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777" w:type="dxa"/>
            <w:shd w:val="clear" w:color="auto" w:fill="D9D9D9"/>
            <w:vAlign w:val="center"/>
          </w:tcPr>
          <w:p>
            <w:pPr>
              <w:jc w:val="center"/>
              <w:rPr>
                <w:rFonts w:ascii="宋体" w:hAnsi="宋体"/>
                <w:b/>
                <w:szCs w:val="21"/>
              </w:rPr>
            </w:pPr>
            <w:r>
              <w:rPr>
                <w:rFonts w:hint="eastAsia" w:ascii="宋体" w:hAnsi="宋体"/>
                <w:b/>
                <w:szCs w:val="21"/>
              </w:rPr>
              <w:t>序号</w:t>
            </w:r>
          </w:p>
        </w:tc>
        <w:tc>
          <w:tcPr>
            <w:tcW w:w="3159" w:type="dxa"/>
            <w:shd w:val="clear" w:color="auto" w:fill="D9D9D9"/>
            <w:vAlign w:val="center"/>
          </w:tcPr>
          <w:p>
            <w:pPr>
              <w:jc w:val="left"/>
              <w:rPr>
                <w:rFonts w:ascii="宋体" w:hAnsi="宋体"/>
                <w:b/>
                <w:szCs w:val="21"/>
              </w:rPr>
            </w:pPr>
            <w:r>
              <w:rPr>
                <w:rFonts w:hint="eastAsia" w:ascii="宋体" w:hAnsi="宋体"/>
                <w:b/>
                <w:szCs w:val="21"/>
              </w:rPr>
              <w:t>资产名称</w:t>
            </w:r>
          </w:p>
        </w:tc>
        <w:tc>
          <w:tcPr>
            <w:tcW w:w="2693" w:type="dxa"/>
            <w:shd w:val="clear" w:color="auto" w:fill="D9D9D9"/>
            <w:vAlign w:val="center"/>
          </w:tcPr>
          <w:p>
            <w:pPr>
              <w:jc w:val="left"/>
              <w:rPr>
                <w:rFonts w:ascii="宋体" w:hAnsi="宋体"/>
                <w:b/>
                <w:szCs w:val="21"/>
              </w:rPr>
            </w:pPr>
            <w:r>
              <w:rPr>
                <w:rFonts w:hint="eastAsia" w:ascii="宋体" w:hAnsi="宋体"/>
                <w:b/>
                <w:szCs w:val="21"/>
              </w:rPr>
              <w:t>金额</w:t>
            </w:r>
          </w:p>
        </w:tc>
        <w:tc>
          <w:tcPr>
            <w:tcW w:w="2431" w:type="dxa"/>
            <w:shd w:val="clear" w:color="auto" w:fill="D9D9D9"/>
            <w:vAlign w:val="center"/>
          </w:tcPr>
          <w:p>
            <w:pPr>
              <w:jc w:val="left"/>
              <w:rPr>
                <w:rFonts w:hint="eastAsia" w:ascii="宋体" w:hAnsi="宋体" w:eastAsia="宋体"/>
                <w:b/>
                <w:szCs w:val="21"/>
                <w:lang w:val="en-US" w:eastAsia="zh-CN"/>
              </w:rPr>
            </w:pPr>
            <w:r>
              <w:rPr>
                <w:rFonts w:hint="eastAsia" w:ascii="宋体" w:hAnsi="宋体"/>
                <w:b/>
                <w:szCs w:val="21"/>
                <w:lang w:val="en-US" w:eastAsia="zh-CN"/>
              </w:rPr>
              <w:t>占产品资产净值比例（%）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7" w:type="dxa"/>
            <w:shd w:val="clear" w:color="auto" w:fill="auto"/>
            <w:vAlign w:val="center"/>
          </w:tcPr>
          <w:p>
            <w:pPr>
              <w:jc w:val="center"/>
              <w:rPr>
                <w:szCs w:val="21"/>
              </w:rPr>
            </w:pPr>
            <w:r>
              <w:rPr>
                <w:szCs w:val="21"/>
              </w:rPr>
              <w:t>1</w:t>
            </w:r>
          </w:p>
        </w:tc>
        <w:tc>
          <w:tcPr>
            <w:tcW w:w="3159" w:type="dxa"/>
            <w:shd w:val="clear" w:color="auto" w:fill="auto"/>
            <w:vAlign w:val="center"/>
          </w:tcPr>
          <w:p>
            <w:pPr>
              <w:rPr>
                <w:rFonts w:asciiTheme="majorEastAsia" w:hAnsiTheme="majorEastAsia" w:eastAsiaTheme="majorEastAsia"/>
                <w:szCs w:val="21"/>
              </w:rPr>
            </w:pPr>
            <w:r>
              <w:rPr>
                <w:rFonts w:asciiTheme="majorEastAsia" w:hAnsiTheme="majorEastAsia" w:eastAsiaTheme="majorEastAsia"/>
                <w:szCs w:val="21"/>
              </w:rPr>
              <w:t>25泸发01</w:t>
            </w:r>
          </w:p>
        </w:tc>
        <w:tc>
          <w:tcPr>
            <w:tcW w:w="2693" w:type="dxa"/>
            <w:shd w:val="clear" w:color="auto" w:fill="auto"/>
            <w:vAlign w:val="center"/>
          </w:tcPr>
          <w:p>
            <w:pPr>
              <w:jc w:val="right"/>
            </w:pPr>
            <w:r>
              <w:t>50,626,054.80</w:t>
            </w:r>
          </w:p>
        </w:tc>
        <w:tc>
          <w:tcPr>
            <w:tcW w:w="2431" w:type="dxa"/>
            <w:shd w:val="clear" w:color="auto" w:fill="auto"/>
            <w:vAlign w:val="center"/>
          </w:tcPr>
          <w:p>
            <w:pPr>
              <w:jc w:val="right"/>
            </w:pPr>
            <w:bookmarkStart w:id="3" w:name="OLE_LINK6"/>
            <w:bookmarkEnd w:id="3"/>
            <w:bookmarkStart w:id="4" w:name="OLE_LINK5"/>
            <w:bookmarkEnd w:id="4"/>
            <w:r>
              <w:rPr>
                <w:rFonts w:hint="eastAsia"/>
              </w:rPr>
              <w:t>8.97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2</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23达州投资MTN001</w:t>
            </w:r>
          </w:p>
        </w:tc>
        <w:tc>
          <w:tcPr>
            <w:tcW w:w="2693" w:type="dxa"/>
            <w:shd w:val="clear" w:color="auto" w:fill="auto"/>
            <w:vAlign w:val="center"/>
          </w:tcPr>
          <w:p>
            <w:pPr>
              <w:ind w:hanging="1"/>
              <w:jc w:val="right"/>
            </w:pPr>
            <w:r>
              <w:rPr>
                <w:b w:val="0"/>
                <w:i w:val="0"/>
                <w:strike w:val="0"/>
                <w:u w:val="none"/>
              </w:rPr>
              <w:t>20,895,797.26</w:t>
            </w:r>
          </w:p>
        </w:tc>
        <w:tc>
          <w:tcPr>
            <w:tcW w:w="2431" w:type="dxa"/>
            <w:shd w:val="clear" w:color="auto" w:fill="auto"/>
            <w:vAlign w:val="center"/>
          </w:tcPr>
          <w:p>
            <w:pPr>
              <w:ind w:hanging="1"/>
              <w:jc w:val="right"/>
            </w:pPr>
            <w:r>
              <w:rPr>
                <w:rFonts w:hint="eastAsia"/>
                <w:b w:val="0"/>
                <w:i w:val="0"/>
                <w:strike w:val="0"/>
                <w:u w:val="none"/>
              </w:rPr>
              <w:t>3.70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3</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23彭城01</w:t>
            </w:r>
          </w:p>
        </w:tc>
        <w:tc>
          <w:tcPr>
            <w:tcW w:w="2693" w:type="dxa"/>
            <w:shd w:val="clear" w:color="auto" w:fill="auto"/>
            <w:vAlign w:val="center"/>
          </w:tcPr>
          <w:p>
            <w:pPr>
              <w:ind w:hanging="1"/>
              <w:jc w:val="right"/>
            </w:pPr>
            <w:r>
              <w:rPr>
                <w:b w:val="0"/>
                <w:i w:val="0"/>
                <w:strike w:val="0"/>
                <w:u w:val="none"/>
              </w:rPr>
              <w:t>20,857,610.96</w:t>
            </w:r>
          </w:p>
        </w:tc>
        <w:tc>
          <w:tcPr>
            <w:tcW w:w="2431" w:type="dxa"/>
            <w:shd w:val="clear" w:color="auto" w:fill="auto"/>
            <w:vAlign w:val="center"/>
          </w:tcPr>
          <w:p>
            <w:pPr>
              <w:ind w:hanging="1"/>
              <w:jc w:val="right"/>
            </w:pPr>
            <w:r>
              <w:rPr>
                <w:rFonts w:hint="eastAsia"/>
                <w:b w:val="0"/>
                <w:i w:val="0"/>
                <w:strike w:val="0"/>
                <w:u w:val="none"/>
              </w:rPr>
              <w:t>3.69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4</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17盐边水务项目NPB</w:t>
            </w:r>
          </w:p>
        </w:tc>
        <w:tc>
          <w:tcPr>
            <w:tcW w:w="2693" w:type="dxa"/>
            <w:shd w:val="clear" w:color="auto" w:fill="auto"/>
            <w:vAlign w:val="center"/>
          </w:tcPr>
          <w:p>
            <w:pPr>
              <w:ind w:hanging="1"/>
              <w:jc w:val="right"/>
            </w:pPr>
            <w:r>
              <w:rPr>
                <w:b w:val="0"/>
                <w:i w:val="0"/>
                <w:strike w:val="0"/>
                <w:u w:val="none"/>
              </w:rPr>
              <w:t>20,623,956.16</w:t>
            </w:r>
          </w:p>
        </w:tc>
        <w:tc>
          <w:tcPr>
            <w:tcW w:w="2431" w:type="dxa"/>
            <w:shd w:val="clear" w:color="auto" w:fill="auto"/>
            <w:vAlign w:val="center"/>
          </w:tcPr>
          <w:p>
            <w:pPr>
              <w:ind w:hanging="1"/>
              <w:jc w:val="right"/>
            </w:pPr>
            <w:r>
              <w:rPr>
                <w:rFonts w:hint="eastAsia"/>
                <w:b w:val="0"/>
                <w:i w:val="0"/>
                <w:strike w:val="0"/>
                <w:u w:val="none"/>
              </w:rPr>
              <w:t>3.65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5</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25内桥01</w:t>
            </w:r>
          </w:p>
        </w:tc>
        <w:tc>
          <w:tcPr>
            <w:tcW w:w="2693" w:type="dxa"/>
            <w:shd w:val="clear" w:color="auto" w:fill="auto"/>
            <w:vAlign w:val="center"/>
          </w:tcPr>
          <w:p>
            <w:pPr>
              <w:ind w:hanging="1"/>
              <w:jc w:val="right"/>
            </w:pPr>
            <w:r>
              <w:rPr>
                <w:b w:val="0"/>
                <w:i w:val="0"/>
                <w:strike w:val="0"/>
                <w:u w:val="none"/>
              </w:rPr>
              <w:t>20,564,328.77</w:t>
            </w:r>
          </w:p>
        </w:tc>
        <w:tc>
          <w:tcPr>
            <w:tcW w:w="2431" w:type="dxa"/>
            <w:shd w:val="clear" w:color="auto" w:fill="auto"/>
            <w:vAlign w:val="center"/>
          </w:tcPr>
          <w:p>
            <w:pPr>
              <w:ind w:hanging="1"/>
              <w:jc w:val="right"/>
            </w:pPr>
            <w:r>
              <w:rPr>
                <w:rFonts w:hint="eastAsia"/>
                <w:b w:val="0"/>
                <w:i w:val="0"/>
                <w:strike w:val="0"/>
                <w:u w:val="none"/>
              </w:rPr>
              <w:t>3.64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6</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23鼎兴实业MTN003</w:t>
            </w:r>
          </w:p>
        </w:tc>
        <w:tc>
          <w:tcPr>
            <w:tcW w:w="2693" w:type="dxa"/>
            <w:shd w:val="clear" w:color="auto" w:fill="auto"/>
            <w:vAlign w:val="center"/>
          </w:tcPr>
          <w:p>
            <w:pPr>
              <w:ind w:hanging="1"/>
              <w:jc w:val="right"/>
            </w:pPr>
            <w:r>
              <w:rPr>
                <w:b w:val="0"/>
                <w:i w:val="0"/>
                <w:strike w:val="0"/>
                <w:u w:val="none"/>
              </w:rPr>
              <w:t>20,521,123.29</w:t>
            </w:r>
          </w:p>
        </w:tc>
        <w:tc>
          <w:tcPr>
            <w:tcW w:w="2431" w:type="dxa"/>
            <w:shd w:val="clear" w:color="auto" w:fill="auto"/>
            <w:vAlign w:val="center"/>
          </w:tcPr>
          <w:p>
            <w:pPr>
              <w:ind w:hanging="1"/>
              <w:jc w:val="right"/>
            </w:pPr>
            <w:r>
              <w:rPr>
                <w:rFonts w:hint="eastAsia"/>
                <w:b w:val="0"/>
                <w:i w:val="0"/>
                <w:strike w:val="0"/>
                <w:u w:val="none"/>
              </w:rPr>
              <w:t>3.63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7</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25达州02</w:t>
            </w:r>
          </w:p>
        </w:tc>
        <w:tc>
          <w:tcPr>
            <w:tcW w:w="2693" w:type="dxa"/>
            <w:shd w:val="clear" w:color="auto" w:fill="auto"/>
            <w:vAlign w:val="center"/>
          </w:tcPr>
          <w:p>
            <w:pPr>
              <w:ind w:hanging="1"/>
              <w:jc w:val="right"/>
            </w:pPr>
            <w:r>
              <w:rPr>
                <w:b w:val="0"/>
                <w:i w:val="0"/>
                <w:strike w:val="0"/>
                <w:u w:val="none"/>
              </w:rPr>
              <w:t>20,466,345.21</w:t>
            </w:r>
          </w:p>
        </w:tc>
        <w:tc>
          <w:tcPr>
            <w:tcW w:w="2431" w:type="dxa"/>
            <w:shd w:val="clear" w:color="auto" w:fill="auto"/>
            <w:vAlign w:val="center"/>
          </w:tcPr>
          <w:p>
            <w:pPr>
              <w:ind w:hanging="1"/>
              <w:jc w:val="right"/>
            </w:pPr>
            <w:r>
              <w:rPr>
                <w:rFonts w:hint="eastAsia"/>
                <w:b w:val="0"/>
                <w:i w:val="0"/>
                <w:strike w:val="0"/>
                <w:u w:val="none"/>
              </w:rPr>
              <w:t>3.62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8</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21眉山发展PPN001</w:t>
            </w:r>
          </w:p>
        </w:tc>
        <w:tc>
          <w:tcPr>
            <w:tcW w:w="2693" w:type="dxa"/>
            <w:shd w:val="clear" w:color="auto" w:fill="auto"/>
            <w:vAlign w:val="center"/>
          </w:tcPr>
          <w:p>
            <w:pPr>
              <w:ind w:hanging="1"/>
              <w:jc w:val="right"/>
            </w:pPr>
            <w:r>
              <w:rPr>
                <w:b w:val="0"/>
                <w:i w:val="0"/>
                <w:strike w:val="0"/>
                <w:u w:val="none"/>
              </w:rPr>
              <w:t>20,332,027.40</w:t>
            </w:r>
          </w:p>
        </w:tc>
        <w:tc>
          <w:tcPr>
            <w:tcW w:w="2431" w:type="dxa"/>
            <w:shd w:val="clear" w:color="auto" w:fill="auto"/>
            <w:vAlign w:val="center"/>
          </w:tcPr>
          <w:p>
            <w:pPr>
              <w:ind w:hanging="1"/>
              <w:jc w:val="right"/>
            </w:pPr>
            <w:r>
              <w:rPr>
                <w:rFonts w:hint="eastAsia"/>
                <w:b w:val="0"/>
                <w:i w:val="0"/>
                <w:strike w:val="0"/>
                <w:u w:val="none"/>
              </w:rPr>
              <w:t>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9</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25古蔺03</w:t>
            </w:r>
          </w:p>
        </w:tc>
        <w:tc>
          <w:tcPr>
            <w:tcW w:w="2693" w:type="dxa"/>
            <w:shd w:val="clear" w:color="auto" w:fill="auto"/>
            <w:vAlign w:val="center"/>
          </w:tcPr>
          <w:p>
            <w:pPr>
              <w:ind w:hanging="1"/>
              <w:jc w:val="right"/>
            </w:pPr>
            <w:r>
              <w:rPr>
                <w:b w:val="0"/>
                <w:i w:val="0"/>
                <w:strike w:val="0"/>
                <w:u w:val="none"/>
              </w:rPr>
              <w:t>20,124,520.55</w:t>
            </w:r>
          </w:p>
        </w:tc>
        <w:tc>
          <w:tcPr>
            <w:tcW w:w="2431" w:type="dxa"/>
            <w:shd w:val="clear" w:color="auto" w:fill="auto"/>
            <w:vAlign w:val="center"/>
          </w:tcPr>
          <w:p>
            <w:pPr>
              <w:ind w:hanging="1"/>
              <w:jc w:val="right"/>
            </w:pPr>
            <w:r>
              <w:rPr>
                <w:rFonts w:hint="eastAsia"/>
                <w:b w:val="0"/>
                <w:i w:val="0"/>
                <w:strike w:val="0"/>
                <w:u w:val="none"/>
              </w:rPr>
              <w:t>3.56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777" w:type="dxa"/>
            <w:shd w:val="clear" w:color="auto" w:fill="auto"/>
            <w:vAlign w:val="center"/>
          </w:tcPr>
          <w:p>
            <w:pPr>
              <w:ind w:hanging="1"/>
              <w:jc w:val="center"/>
              <w:rPr>
                <w:szCs w:val="21"/>
              </w:rPr>
            </w:pPr>
            <w:r>
              <w:rPr>
                <w:b w:val="0"/>
                <w:i w:val="0"/>
                <w:strike w:val="0"/>
                <w:u w:val="none"/>
              </w:rPr>
              <w:t>10</w:t>
            </w:r>
          </w:p>
        </w:tc>
        <w:tc>
          <w:tcPr>
            <w:tcW w:w="3159" w:type="dxa"/>
            <w:shd w:val="clear" w:color="auto" w:fill="auto"/>
            <w:vAlign w:val="center"/>
          </w:tcPr>
          <w:p>
            <w:pPr>
              <w:ind w:hanging="1"/>
              <w:jc w:val="left"/>
              <w:rPr>
                <w:rFonts w:asciiTheme="majorEastAsia" w:hAnsiTheme="majorEastAsia" w:eastAsiaTheme="majorEastAsia"/>
                <w:szCs w:val="21"/>
              </w:rPr>
            </w:pPr>
            <w:r>
              <w:rPr>
                <w:rFonts w:asciiTheme="majorEastAsia" w:hAnsiTheme="majorEastAsia" w:eastAsiaTheme="majorEastAsia"/>
                <w:b w:val="0"/>
                <w:i w:val="0"/>
                <w:strike w:val="0"/>
                <w:u w:val="none"/>
              </w:rPr>
              <w:t>25江苏江南农村商业银行CD047</w:t>
            </w:r>
          </w:p>
        </w:tc>
        <w:tc>
          <w:tcPr>
            <w:tcW w:w="2693" w:type="dxa"/>
            <w:shd w:val="clear" w:color="auto" w:fill="auto"/>
            <w:vAlign w:val="center"/>
          </w:tcPr>
          <w:p>
            <w:pPr>
              <w:ind w:hanging="1"/>
              <w:jc w:val="right"/>
            </w:pPr>
            <w:r>
              <w:rPr>
                <w:b w:val="0"/>
                <w:i w:val="0"/>
                <w:strike w:val="0"/>
                <w:u w:val="none"/>
              </w:rPr>
              <w:t>19,988,413.04</w:t>
            </w:r>
          </w:p>
        </w:tc>
        <w:tc>
          <w:tcPr>
            <w:tcW w:w="2431" w:type="dxa"/>
            <w:shd w:val="clear" w:color="auto" w:fill="auto"/>
            <w:vAlign w:val="center"/>
          </w:tcPr>
          <w:p>
            <w:pPr>
              <w:ind w:hanging="1"/>
              <w:jc w:val="right"/>
            </w:pPr>
            <w:r>
              <w:rPr>
                <w:rFonts w:hint="eastAsia"/>
                <w:b w:val="0"/>
                <w:i w:val="0"/>
                <w:strike w:val="0"/>
                <w:u w:val="none"/>
              </w:rPr>
              <w:t>3.54</w:t>
            </w:r>
          </w:p>
        </w:tc>
      </w:tr>
    </w:tbl>
    <w:p>
      <w:pPr>
        <w:rPr>
          <w:rFonts w:ascii="宋体" w:hAnsi="宋体"/>
          <w:sz w:val="24"/>
        </w:rPr>
      </w:pPr>
      <w:r>
        <w:rPr>
          <w:rFonts w:hint="eastAsia" w:ascii="宋体" w:hAnsi="宋体"/>
          <w:sz w:val="24"/>
        </w:rPr>
        <w:t xml:space="preserve"> </w:t>
      </w:r>
    </w:p>
    <w:p>
      <w:pPr>
        <w:ind w:left="424" w:leftChars="202"/>
        <w:jc w:val="left"/>
        <w:rPr>
          <w:rFonts w:asciiTheme="minorEastAsia" w:hAnsiTheme="minorEastAsia" w:eastAsiaTheme="minorEastAsia"/>
          <w:szCs w:val="21"/>
        </w:rPr>
      </w:pPr>
      <w:r>
        <w:rPr>
          <w:rFonts w:hint="eastAsia" w:asciiTheme="minorEastAsia" w:hAnsiTheme="minorEastAsia" w:eastAsiaTheme="minorEastAsia"/>
          <w:szCs w:val="21"/>
        </w:rPr>
        <w:t>注：前十项资产明细仅包含证券投资、场外投资，不包含银行活期存款、存出保证金、清算备付金等资产。</w:t>
      </w:r>
    </w:p>
    <w:p>
      <w:pPr>
        <w:pStyle w:val="40"/>
      </w:pPr>
      <w:r>
        <w:t>托管人报告</w:t>
      </w:r>
    </w:p>
    <w:p>
      <w:pPr>
        <w:spacing w:line="360" w:lineRule="auto"/>
        <w:ind w:right="-107" w:rightChars="-51"/>
        <w:jc w:val="left"/>
        <w:rPr>
          <w:rFonts w:hint="eastAsia" w:ascii="宋体" w:hAnsi="宋体"/>
          <w:szCs w:val="21"/>
        </w:rPr>
      </w:pPr>
      <w:r>
        <w:rPr>
          <w:rFonts w:hint="eastAsia" w:ascii="宋体" w:hAnsi="宋体"/>
          <w:szCs w:val="21"/>
        </w:rPr>
        <w:t>5.1、托管人履职情况</w:t>
      </w:r>
    </w:p>
    <w:p>
      <w:pPr>
        <w:spacing w:line="360" w:lineRule="auto"/>
        <w:ind w:right="-107" w:rightChars="-51"/>
        <w:jc w:val="left"/>
        <w:rPr>
          <w:rFonts w:hint="eastAsia" w:ascii="宋体" w:hAnsi="宋体"/>
          <w:szCs w:val="21"/>
        </w:rPr>
      </w:pPr>
      <w:r>
        <w:rPr>
          <w:rFonts w:hint="eastAsia" w:ascii="宋体" w:hAnsi="宋体"/>
          <w:szCs w:val="21"/>
        </w:rPr>
        <w:t>（一）托管资产保管</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资产独立于招商银行的自有资产及其托管的其他资产，不同投资账户之间的托管资产之间互相独立。我行按照监管相关规定，完整保存与托管资产有关的会计档案、与托管资产有关的投资记录、指令和合同等。</w:t>
      </w:r>
    </w:p>
    <w:p>
      <w:pPr>
        <w:spacing w:line="360" w:lineRule="auto"/>
        <w:ind w:right="-107" w:rightChars="-51"/>
        <w:jc w:val="left"/>
        <w:rPr>
          <w:rFonts w:hint="eastAsia" w:ascii="宋体" w:hAnsi="宋体"/>
          <w:szCs w:val="21"/>
        </w:rPr>
      </w:pPr>
      <w:r>
        <w:rPr>
          <w:rFonts w:hint="eastAsia" w:ascii="宋体" w:hAnsi="宋体"/>
          <w:szCs w:val="21"/>
        </w:rPr>
        <w:t>（二）会计核算和估值</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招商银行按照与管理人在托管协议中约定的统一记账方法和会计处理原则，独立地设置、登录和保管本产品的全套账册，进行会计核算和资产估值。</w:t>
      </w:r>
    </w:p>
    <w:p>
      <w:pPr>
        <w:spacing w:line="360" w:lineRule="auto"/>
        <w:ind w:right="-107" w:rightChars="-51"/>
        <w:jc w:val="left"/>
        <w:rPr>
          <w:rFonts w:hint="eastAsia" w:ascii="宋体" w:hAnsi="宋体"/>
          <w:szCs w:val="21"/>
        </w:rPr>
      </w:pPr>
      <w:r>
        <w:rPr>
          <w:rFonts w:hint="eastAsia" w:ascii="宋体" w:hAnsi="宋体"/>
          <w:szCs w:val="21"/>
        </w:rPr>
        <w:t>（三）定期核对有关数据</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招商银行根据托管协议约定与管理人或外包机构定期进行账务核对。</w:t>
      </w:r>
    </w:p>
    <w:p>
      <w:pPr>
        <w:spacing w:line="360" w:lineRule="auto"/>
        <w:ind w:right="-107" w:rightChars="-51"/>
        <w:jc w:val="left"/>
        <w:rPr>
          <w:rFonts w:hint="eastAsia" w:ascii="宋体" w:hAnsi="宋体"/>
          <w:szCs w:val="21"/>
        </w:rPr>
      </w:pPr>
      <w:r>
        <w:rPr>
          <w:rFonts w:hint="eastAsia" w:ascii="宋体" w:hAnsi="宋体"/>
          <w:szCs w:val="21"/>
        </w:rPr>
        <w:t>（四）投资监督</w:t>
      </w:r>
    </w:p>
    <w:p>
      <w:pPr>
        <w:spacing w:line="360" w:lineRule="auto"/>
        <w:ind w:right="-107" w:rightChars="-51" w:firstLine="420" w:firstLineChars="200"/>
        <w:jc w:val="left"/>
        <w:rPr>
          <w:rFonts w:hint="eastAsia" w:ascii="宋体" w:hAnsi="宋体"/>
          <w:szCs w:val="21"/>
        </w:rPr>
      </w:pPr>
      <w:r>
        <w:rPr>
          <w:rFonts w:hint="eastAsia" w:ascii="宋体" w:hAnsi="宋体"/>
          <w:szCs w:val="21"/>
        </w:rPr>
        <w:t>招商银行根据法规、托管协议以及双方约定的投资监督条款，对投资运作情况进行监督。</w:t>
      </w:r>
    </w:p>
    <w:p>
      <w:pPr>
        <w:spacing w:line="360" w:lineRule="auto"/>
        <w:ind w:right="-107" w:rightChars="-51"/>
        <w:jc w:val="left"/>
        <w:rPr>
          <w:rFonts w:hint="eastAsia" w:ascii="宋体" w:hAnsi="宋体"/>
          <w:szCs w:val="21"/>
        </w:rPr>
      </w:pPr>
      <w:r>
        <w:rPr>
          <w:rFonts w:hint="eastAsia" w:ascii="宋体" w:hAnsi="宋体"/>
          <w:szCs w:val="21"/>
        </w:rPr>
        <w:t>5.2、托管人声明</w:t>
      </w:r>
    </w:p>
    <w:p>
      <w:pPr>
        <w:spacing w:line="360" w:lineRule="auto"/>
        <w:ind w:right="-107" w:rightChars="-51" w:firstLine="420" w:firstLineChars="200"/>
        <w:jc w:val="left"/>
        <w:rPr>
          <w:rFonts w:hint="eastAsia" w:ascii="宋体" w:hAnsi="宋体"/>
          <w:szCs w:val="21"/>
        </w:rPr>
      </w:pPr>
      <w:r>
        <w:rPr>
          <w:rFonts w:hint="eastAsia" w:ascii="宋体" w:hAnsi="宋体"/>
          <w:szCs w:val="21"/>
        </w:rPr>
        <w:t>托管人声明：招商银行具备完善的公司治理结构、内部稽核监控制度和风险控制制度，我行在本产品托管的过程中，严格遵守有关法律法规、托管协议的规定，尽职尽责地履行托管义务并安全保管托管资产。</w:t>
      </w:r>
    </w:p>
    <w:p>
      <w:pPr>
        <w:pStyle w:val="40"/>
      </w:pPr>
      <w:r>
        <w:rPr>
          <w:rFonts w:hint="eastAsia"/>
          <w:lang w:val="en-US"/>
        </w:rPr>
        <w:t>关联交易情况说明</w:t>
      </w:r>
    </w:p>
    <w:p>
      <w:pPr>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highlight w:val="none"/>
          <w:lang w:val="en-US" w:eastAsia="zh-CN"/>
        </w:rPr>
        <w:t>无</w:t>
      </w:r>
      <w:r>
        <w:rPr>
          <w:rFonts w:hint="eastAsia" w:asciiTheme="minorEastAsia" w:hAnsiTheme="minorEastAsia" w:eastAsiaTheme="minorEastAsia"/>
          <w:szCs w:val="21"/>
          <w:highlight w:val="none"/>
        </w:rPr>
        <w:t>。</w:t>
      </w:r>
      <w:bookmarkStart w:id="5" w:name="_GoBack"/>
      <w:bookmarkEnd w:id="5"/>
    </w:p>
    <w:p>
      <w:pPr>
        <w:spacing w:line="360" w:lineRule="auto"/>
        <w:ind w:right="-107" w:rightChars="-51" w:firstLine="420" w:firstLineChars="200"/>
        <w:jc w:val="left"/>
        <w:rPr>
          <w:rFonts w:hint="eastAsia" w:ascii="宋体" w:hAnsi="宋体"/>
          <w:szCs w:val="21"/>
        </w:rPr>
      </w:pPr>
    </w:p>
    <w:p>
      <w:pPr>
        <w:jc w:val="left"/>
        <w:rPr>
          <w:rFonts w:asciiTheme="minorEastAsia" w:hAnsiTheme="minorEastAsia" w:eastAsiaTheme="minorEastAsia"/>
          <w:szCs w:val="21"/>
        </w:rPr>
      </w:pPr>
    </w:p>
    <w:p>
      <w:pPr>
        <w:jc w:val="right"/>
        <w:rPr>
          <w:rFonts w:ascii="宋体" w:hAnsi="宋体"/>
          <w:sz w:val="24"/>
        </w:rPr>
      </w:pPr>
    </w:p>
    <w:p>
      <w:pPr>
        <w:jc w:val="right"/>
        <w:rPr>
          <w:rFonts w:ascii="宋体" w:hAnsi="宋体"/>
          <w:sz w:val="28"/>
          <w:szCs w:val="28"/>
        </w:rPr>
      </w:pPr>
      <w:r>
        <w:rPr>
          <w:rFonts w:ascii="宋体" w:hAnsi="宋体"/>
          <w:sz w:val="28"/>
          <w:szCs w:val="28"/>
        </w:rPr>
        <w:t>四川银行股份有限公司</w:t>
      </w:r>
    </w:p>
    <w:p>
      <w:pPr>
        <w:jc w:val="right"/>
        <w:rPr>
          <w:rFonts w:ascii="宋体" w:hAnsi="宋体"/>
          <w:sz w:val="28"/>
          <w:szCs w:val="28"/>
        </w:rPr>
      </w:pPr>
      <w:r>
        <w:rPr>
          <w:rFonts w:ascii="宋体" w:hAnsi="宋体"/>
          <w:sz w:val="28"/>
          <w:szCs w:val="28"/>
        </w:rPr>
        <w:t>2026-01-15</w:t>
      </w:r>
      <w:r>
        <w:rPr>
          <w:rFonts w:hint="eastAsia" w:ascii="宋体" w:hAnsi="宋体"/>
          <w:sz w:val="28"/>
          <w:szCs w:val="28"/>
        </w:rPr>
        <w:t xml:space="preserve">                   </w:t>
      </w:r>
    </w:p>
    <w:sectPr>
      <w:footerReference r:id="rId3" w:type="default"/>
      <w:footerReference r:id="rId4" w:type="even"/>
      <w:pgSz w:w="11906" w:h="16838"/>
      <w:pgMar w:top="1440" w:right="1531" w:bottom="1134" w:left="1531" w:header="851" w:footer="992" w:gutter="0"/>
      <w:pgBorders>
        <w:top w:val="none" w:sz="0" w:space="0"/>
        <w:left w:val="none" w:sz="0" w:space="0"/>
        <w:bottom w:val="none" w:sz="0" w:space="0"/>
        <w:right w:val="none" w:sz="0" w:space="0"/>
      </w:pgBorders>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roman"/>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Fonts w:hint="eastAsia"/>
      </w:rPr>
      <w:t xml:space="preserve"> </w:t>
    </w:r>
  </w:p>
  <w:p>
    <w:pPr>
      <w:pStyle w:val="10"/>
      <w:ind w:right="10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right" w:y="1"/>
      <w:rPr>
        <w:rStyle w:val="20"/>
      </w:rPr>
    </w:pPr>
    <w:r>
      <w:rPr>
        <w:rStyle w:val="20"/>
      </w:rPr>
      <w:fldChar w:fldCharType="begin"/>
    </w:r>
    <w:r>
      <w:rPr>
        <w:rStyle w:val="20"/>
      </w:rPr>
      <w:instrText xml:space="preserve">PAGE  </w:instrText>
    </w:r>
    <w:r>
      <w:rPr>
        <w:rStyle w:val="20"/>
      </w:rPr>
      <w:fldChar w:fldCharType="end"/>
    </w:r>
  </w:p>
  <w:p>
    <w:pPr>
      <w:pStyle w:val="10"/>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7D73EE"/>
    <w:multiLevelType w:val="multilevel"/>
    <w:tmpl w:val="547D73EE"/>
    <w:lvl w:ilvl="0" w:tentative="0">
      <w:start w:val="1"/>
      <w:numFmt w:val="decimal"/>
      <w:lvlText w:val="%1、"/>
      <w:lvlJc w:val="left"/>
      <w:pPr>
        <w:ind w:left="420" w:hanging="420"/>
      </w:pPr>
      <w:rPr>
        <w:rFonts w:hint="eastAsia"/>
      </w:rPr>
    </w:lvl>
    <w:lvl w:ilvl="1" w:tentative="0">
      <w:start w:val="1"/>
      <w:numFmt w:val="decimal"/>
      <w:pStyle w:val="41"/>
      <w:suff w:val="space"/>
      <w:lvlText w:val="%1.%2"/>
      <w:lvlJc w:val="left"/>
      <w:pPr>
        <w:ind w:left="454" w:hanging="454"/>
      </w:pPr>
      <w:rPr>
        <w:rFonts w:hint="eastAsia"/>
      </w:rPr>
    </w:lvl>
    <w:lvl w:ilvl="2" w:tentative="0">
      <w:start w:val="1"/>
      <w:numFmt w:val="decimal"/>
      <w:pStyle w:val="42"/>
      <w:suff w:val="space"/>
      <w:lvlText w:val="%1.%2.%3"/>
      <w:lvlJc w:val="left"/>
      <w:pPr>
        <w:ind w:left="1050" w:hanging="624"/>
      </w:pPr>
      <w:rPr>
        <w:rFonts w:hint="eastAsia"/>
      </w:rPr>
    </w:lvl>
    <w:lvl w:ilvl="3" w:tentative="0">
      <w:start w:val="1"/>
      <w:numFmt w:val="decimal"/>
      <w:pStyle w:val="43"/>
      <w:suff w:val="space"/>
      <w:lvlText w:val="%1.%2.%3.%4"/>
      <w:lvlJc w:val="left"/>
      <w:pPr>
        <w:ind w:left="794" w:hanging="794"/>
      </w:pPr>
      <w:rPr>
        <w:rFonts w:hint="eastAsia"/>
      </w:rPr>
    </w:lvl>
    <w:lvl w:ilvl="4" w:tentative="0">
      <w:start w:val="1"/>
      <w:numFmt w:val="decimal"/>
      <w:pStyle w:val="44"/>
      <w:suff w:val="space"/>
      <w:lvlText w:val="%1.%2.%3.%4.%5"/>
      <w:lvlJc w:val="left"/>
      <w:pPr>
        <w:ind w:left="1021" w:hanging="1021"/>
      </w:pPr>
      <w:rPr>
        <w:rFonts w:hint="eastAsia"/>
      </w:rPr>
    </w:lvl>
    <w:lvl w:ilvl="5" w:tentative="0">
      <w:start w:val="1"/>
      <w:numFmt w:val="decimal"/>
      <w:pStyle w:val="45"/>
      <w:suff w:val="space"/>
      <w:lvlText w:val="%1.%2.%3.%4.%5.%6"/>
      <w:lvlJc w:val="left"/>
      <w:pPr>
        <w:ind w:left="1021" w:hanging="1021"/>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7E1B1D2A"/>
    <w:multiLevelType w:val="multilevel"/>
    <w:tmpl w:val="7E1B1D2A"/>
    <w:lvl w:ilvl="0" w:tentative="0">
      <w:start w:val="1"/>
      <w:numFmt w:val="decimal"/>
      <w:pStyle w:val="40"/>
      <w:lvlText w:val="%1、"/>
      <w:lvlJc w:val="left"/>
      <w:pPr>
        <w:ind w:left="420" w:hanging="420"/>
      </w:pPr>
      <w:rPr>
        <w:rFonts w:hint="eastAsia"/>
        <w:spacing w:val="-2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A36"/>
    <w:rsid w:val="00011E30"/>
    <w:rsid w:val="00011E76"/>
    <w:rsid w:val="000167A6"/>
    <w:rsid w:val="00017B7D"/>
    <w:rsid w:val="000224FE"/>
    <w:rsid w:val="00024803"/>
    <w:rsid w:val="00024FA2"/>
    <w:rsid w:val="00025E0C"/>
    <w:rsid w:val="0002761E"/>
    <w:rsid w:val="00027C34"/>
    <w:rsid w:val="00035197"/>
    <w:rsid w:val="00036749"/>
    <w:rsid w:val="00036CDC"/>
    <w:rsid w:val="00037456"/>
    <w:rsid w:val="0003799B"/>
    <w:rsid w:val="00047F36"/>
    <w:rsid w:val="00055BE3"/>
    <w:rsid w:val="0006004E"/>
    <w:rsid w:val="0006022E"/>
    <w:rsid w:val="00062D58"/>
    <w:rsid w:val="000666E4"/>
    <w:rsid w:val="000739FE"/>
    <w:rsid w:val="00074396"/>
    <w:rsid w:val="000745C5"/>
    <w:rsid w:val="00074778"/>
    <w:rsid w:val="000811DB"/>
    <w:rsid w:val="00081814"/>
    <w:rsid w:val="000825DB"/>
    <w:rsid w:val="00083139"/>
    <w:rsid w:val="00084444"/>
    <w:rsid w:val="00091668"/>
    <w:rsid w:val="000954BC"/>
    <w:rsid w:val="000957D7"/>
    <w:rsid w:val="00096252"/>
    <w:rsid w:val="000A0247"/>
    <w:rsid w:val="000A1C35"/>
    <w:rsid w:val="000B049B"/>
    <w:rsid w:val="000B12F7"/>
    <w:rsid w:val="000B65EC"/>
    <w:rsid w:val="000C0357"/>
    <w:rsid w:val="000C13BD"/>
    <w:rsid w:val="000C5B47"/>
    <w:rsid w:val="000D078C"/>
    <w:rsid w:val="000D4CEA"/>
    <w:rsid w:val="000D5DDE"/>
    <w:rsid w:val="000E103E"/>
    <w:rsid w:val="000E2280"/>
    <w:rsid w:val="000E5BF4"/>
    <w:rsid w:val="000E7303"/>
    <w:rsid w:val="000E7594"/>
    <w:rsid w:val="000E7EE4"/>
    <w:rsid w:val="000F1CA3"/>
    <w:rsid w:val="000F1EB8"/>
    <w:rsid w:val="000F79B4"/>
    <w:rsid w:val="001003A8"/>
    <w:rsid w:val="001178EF"/>
    <w:rsid w:val="00123DCF"/>
    <w:rsid w:val="001241D2"/>
    <w:rsid w:val="00127EE5"/>
    <w:rsid w:val="00130058"/>
    <w:rsid w:val="001304CE"/>
    <w:rsid w:val="00130B97"/>
    <w:rsid w:val="00131F63"/>
    <w:rsid w:val="001321D3"/>
    <w:rsid w:val="001367E6"/>
    <w:rsid w:val="0013763A"/>
    <w:rsid w:val="00137F13"/>
    <w:rsid w:val="00142BF7"/>
    <w:rsid w:val="001438D5"/>
    <w:rsid w:val="001505C2"/>
    <w:rsid w:val="0015110C"/>
    <w:rsid w:val="0015418C"/>
    <w:rsid w:val="001546E3"/>
    <w:rsid w:val="00156CE7"/>
    <w:rsid w:val="001634F8"/>
    <w:rsid w:val="00172A27"/>
    <w:rsid w:val="00175535"/>
    <w:rsid w:val="00182115"/>
    <w:rsid w:val="0019201F"/>
    <w:rsid w:val="00193840"/>
    <w:rsid w:val="00196688"/>
    <w:rsid w:val="001A6A60"/>
    <w:rsid w:val="001A6DCE"/>
    <w:rsid w:val="001B0D81"/>
    <w:rsid w:val="001B2258"/>
    <w:rsid w:val="001B3575"/>
    <w:rsid w:val="001B43F0"/>
    <w:rsid w:val="001C4ACD"/>
    <w:rsid w:val="001C5999"/>
    <w:rsid w:val="001D364E"/>
    <w:rsid w:val="001E12D4"/>
    <w:rsid w:val="001E1A37"/>
    <w:rsid w:val="001E27AF"/>
    <w:rsid w:val="001E2A08"/>
    <w:rsid w:val="001E4B7A"/>
    <w:rsid w:val="001E7354"/>
    <w:rsid w:val="001E73F7"/>
    <w:rsid w:val="001E7E3E"/>
    <w:rsid w:val="001F28F0"/>
    <w:rsid w:val="001F4ADC"/>
    <w:rsid w:val="001F5BAE"/>
    <w:rsid w:val="001F7D68"/>
    <w:rsid w:val="00203F6A"/>
    <w:rsid w:val="00210223"/>
    <w:rsid w:val="0021036E"/>
    <w:rsid w:val="00212735"/>
    <w:rsid w:val="00212AC6"/>
    <w:rsid w:val="00217B81"/>
    <w:rsid w:val="00222DFB"/>
    <w:rsid w:val="00226962"/>
    <w:rsid w:val="00226D1D"/>
    <w:rsid w:val="00227C89"/>
    <w:rsid w:val="0024340D"/>
    <w:rsid w:val="00246E06"/>
    <w:rsid w:val="002520E6"/>
    <w:rsid w:val="00254241"/>
    <w:rsid w:val="002543ED"/>
    <w:rsid w:val="002550F8"/>
    <w:rsid w:val="00256F99"/>
    <w:rsid w:val="00261703"/>
    <w:rsid w:val="00265F21"/>
    <w:rsid w:val="002709E9"/>
    <w:rsid w:val="0027180C"/>
    <w:rsid w:val="00285198"/>
    <w:rsid w:val="0028673C"/>
    <w:rsid w:val="00291837"/>
    <w:rsid w:val="00293CED"/>
    <w:rsid w:val="002A1060"/>
    <w:rsid w:val="002A5581"/>
    <w:rsid w:val="002A6967"/>
    <w:rsid w:val="002B18D0"/>
    <w:rsid w:val="002B1BF7"/>
    <w:rsid w:val="002B2425"/>
    <w:rsid w:val="002B5C75"/>
    <w:rsid w:val="002B6AB0"/>
    <w:rsid w:val="002B6D92"/>
    <w:rsid w:val="002C0D52"/>
    <w:rsid w:val="002D2E99"/>
    <w:rsid w:val="002D3143"/>
    <w:rsid w:val="002D50E0"/>
    <w:rsid w:val="002D70F8"/>
    <w:rsid w:val="002E15C2"/>
    <w:rsid w:val="002E2A8D"/>
    <w:rsid w:val="002E366D"/>
    <w:rsid w:val="002E37D7"/>
    <w:rsid w:val="002E6930"/>
    <w:rsid w:val="002F1904"/>
    <w:rsid w:val="002F1EBF"/>
    <w:rsid w:val="002F244E"/>
    <w:rsid w:val="002F2A39"/>
    <w:rsid w:val="002F73B7"/>
    <w:rsid w:val="003017B8"/>
    <w:rsid w:val="00302E0B"/>
    <w:rsid w:val="0030728E"/>
    <w:rsid w:val="003140F2"/>
    <w:rsid w:val="003170E3"/>
    <w:rsid w:val="003176DF"/>
    <w:rsid w:val="003217E4"/>
    <w:rsid w:val="003245FC"/>
    <w:rsid w:val="003350C8"/>
    <w:rsid w:val="00336953"/>
    <w:rsid w:val="0034174F"/>
    <w:rsid w:val="00347E59"/>
    <w:rsid w:val="0035009E"/>
    <w:rsid w:val="00351099"/>
    <w:rsid w:val="00352670"/>
    <w:rsid w:val="0035379B"/>
    <w:rsid w:val="003545C4"/>
    <w:rsid w:val="00354AB0"/>
    <w:rsid w:val="00355798"/>
    <w:rsid w:val="00355F58"/>
    <w:rsid w:val="00362921"/>
    <w:rsid w:val="003629D6"/>
    <w:rsid w:val="0036621F"/>
    <w:rsid w:val="00370236"/>
    <w:rsid w:val="00370D1C"/>
    <w:rsid w:val="0037107A"/>
    <w:rsid w:val="0037163C"/>
    <w:rsid w:val="00372961"/>
    <w:rsid w:val="00373861"/>
    <w:rsid w:val="0037574C"/>
    <w:rsid w:val="00380B72"/>
    <w:rsid w:val="00386349"/>
    <w:rsid w:val="00386B5A"/>
    <w:rsid w:val="00391B1F"/>
    <w:rsid w:val="00392524"/>
    <w:rsid w:val="0039364C"/>
    <w:rsid w:val="00394EF9"/>
    <w:rsid w:val="00397112"/>
    <w:rsid w:val="00397200"/>
    <w:rsid w:val="003A0970"/>
    <w:rsid w:val="003A7C09"/>
    <w:rsid w:val="003B436D"/>
    <w:rsid w:val="003B7836"/>
    <w:rsid w:val="003C0A61"/>
    <w:rsid w:val="003C24AD"/>
    <w:rsid w:val="003C5071"/>
    <w:rsid w:val="003D0E86"/>
    <w:rsid w:val="003D15A3"/>
    <w:rsid w:val="003D39AE"/>
    <w:rsid w:val="003D4200"/>
    <w:rsid w:val="003D7D84"/>
    <w:rsid w:val="003E15D9"/>
    <w:rsid w:val="003E460E"/>
    <w:rsid w:val="003E7218"/>
    <w:rsid w:val="0040013A"/>
    <w:rsid w:val="0040127C"/>
    <w:rsid w:val="00402216"/>
    <w:rsid w:val="00415C27"/>
    <w:rsid w:val="004169FD"/>
    <w:rsid w:val="00420876"/>
    <w:rsid w:val="0042283D"/>
    <w:rsid w:val="00430538"/>
    <w:rsid w:val="004332EF"/>
    <w:rsid w:val="00436399"/>
    <w:rsid w:val="004405BC"/>
    <w:rsid w:val="0044179E"/>
    <w:rsid w:val="004422DD"/>
    <w:rsid w:val="00442C23"/>
    <w:rsid w:val="00442E16"/>
    <w:rsid w:val="0044354B"/>
    <w:rsid w:val="00444430"/>
    <w:rsid w:val="00445B1D"/>
    <w:rsid w:val="00445B84"/>
    <w:rsid w:val="00445B9F"/>
    <w:rsid w:val="00450537"/>
    <w:rsid w:val="00451D7B"/>
    <w:rsid w:val="0045697B"/>
    <w:rsid w:val="00457E70"/>
    <w:rsid w:val="0046347F"/>
    <w:rsid w:val="0046369D"/>
    <w:rsid w:val="00464A4B"/>
    <w:rsid w:val="00465827"/>
    <w:rsid w:val="00466631"/>
    <w:rsid w:val="00467018"/>
    <w:rsid w:val="0047019A"/>
    <w:rsid w:val="00475C49"/>
    <w:rsid w:val="00477FEC"/>
    <w:rsid w:val="00482F15"/>
    <w:rsid w:val="004864F2"/>
    <w:rsid w:val="00487E77"/>
    <w:rsid w:val="004925AF"/>
    <w:rsid w:val="00493D46"/>
    <w:rsid w:val="004976C7"/>
    <w:rsid w:val="00497AFF"/>
    <w:rsid w:val="004A7E27"/>
    <w:rsid w:val="004B02F2"/>
    <w:rsid w:val="004B6EF6"/>
    <w:rsid w:val="004C126D"/>
    <w:rsid w:val="004C2C74"/>
    <w:rsid w:val="004C439A"/>
    <w:rsid w:val="004C56A8"/>
    <w:rsid w:val="004C689C"/>
    <w:rsid w:val="004D2B6B"/>
    <w:rsid w:val="004D2D2A"/>
    <w:rsid w:val="004E2CFE"/>
    <w:rsid w:val="004E344E"/>
    <w:rsid w:val="004E4E80"/>
    <w:rsid w:val="004E53DD"/>
    <w:rsid w:val="004E5C17"/>
    <w:rsid w:val="004F0ECB"/>
    <w:rsid w:val="004F50D0"/>
    <w:rsid w:val="004F55AB"/>
    <w:rsid w:val="004F5803"/>
    <w:rsid w:val="004F64A1"/>
    <w:rsid w:val="00500777"/>
    <w:rsid w:val="00501D92"/>
    <w:rsid w:val="00503B75"/>
    <w:rsid w:val="005066A6"/>
    <w:rsid w:val="00511DB9"/>
    <w:rsid w:val="00513688"/>
    <w:rsid w:val="00513763"/>
    <w:rsid w:val="00524F71"/>
    <w:rsid w:val="005272CD"/>
    <w:rsid w:val="00527A49"/>
    <w:rsid w:val="005310A6"/>
    <w:rsid w:val="0053595B"/>
    <w:rsid w:val="00537901"/>
    <w:rsid w:val="00540DE6"/>
    <w:rsid w:val="00542A91"/>
    <w:rsid w:val="0054387B"/>
    <w:rsid w:val="005465B6"/>
    <w:rsid w:val="00552EA5"/>
    <w:rsid w:val="00554065"/>
    <w:rsid w:val="00555D8D"/>
    <w:rsid w:val="00560EAF"/>
    <w:rsid w:val="00572059"/>
    <w:rsid w:val="00573E83"/>
    <w:rsid w:val="005775FA"/>
    <w:rsid w:val="00583550"/>
    <w:rsid w:val="00591622"/>
    <w:rsid w:val="005947ED"/>
    <w:rsid w:val="00596277"/>
    <w:rsid w:val="005B6C71"/>
    <w:rsid w:val="005C208D"/>
    <w:rsid w:val="005C50DF"/>
    <w:rsid w:val="005C6300"/>
    <w:rsid w:val="005D0C97"/>
    <w:rsid w:val="005D13A8"/>
    <w:rsid w:val="005D2052"/>
    <w:rsid w:val="005D22EB"/>
    <w:rsid w:val="005D3D05"/>
    <w:rsid w:val="005E1666"/>
    <w:rsid w:val="005E1A2D"/>
    <w:rsid w:val="005E31BD"/>
    <w:rsid w:val="005E3ECA"/>
    <w:rsid w:val="005E4AD5"/>
    <w:rsid w:val="005E5183"/>
    <w:rsid w:val="005F4FA6"/>
    <w:rsid w:val="005F6FF9"/>
    <w:rsid w:val="005F71F6"/>
    <w:rsid w:val="00600E89"/>
    <w:rsid w:val="00603880"/>
    <w:rsid w:val="00603FEA"/>
    <w:rsid w:val="00604956"/>
    <w:rsid w:val="006108E0"/>
    <w:rsid w:val="00612615"/>
    <w:rsid w:val="00612ABC"/>
    <w:rsid w:val="00620EA2"/>
    <w:rsid w:val="00625E1C"/>
    <w:rsid w:val="00632039"/>
    <w:rsid w:val="00641758"/>
    <w:rsid w:val="00643676"/>
    <w:rsid w:val="006436D6"/>
    <w:rsid w:val="006458E3"/>
    <w:rsid w:val="006464AD"/>
    <w:rsid w:val="00647545"/>
    <w:rsid w:val="00647AB1"/>
    <w:rsid w:val="00655059"/>
    <w:rsid w:val="00660553"/>
    <w:rsid w:val="00663245"/>
    <w:rsid w:val="00663DE1"/>
    <w:rsid w:val="00664C86"/>
    <w:rsid w:val="00664F5A"/>
    <w:rsid w:val="00665902"/>
    <w:rsid w:val="006664D5"/>
    <w:rsid w:val="00667384"/>
    <w:rsid w:val="00667447"/>
    <w:rsid w:val="0067267E"/>
    <w:rsid w:val="00675178"/>
    <w:rsid w:val="006761C2"/>
    <w:rsid w:val="006771FF"/>
    <w:rsid w:val="00682943"/>
    <w:rsid w:val="00683D3B"/>
    <w:rsid w:val="006876F4"/>
    <w:rsid w:val="00692A30"/>
    <w:rsid w:val="00693EF1"/>
    <w:rsid w:val="006955BF"/>
    <w:rsid w:val="00697DB7"/>
    <w:rsid w:val="006A307A"/>
    <w:rsid w:val="006B0B91"/>
    <w:rsid w:val="006B24E7"/>
    <w:rsid w:val="006B554E"/>
    <w:rsid w:val="006B5B87"/>
    <w:rsid w:val="006C21A8"/>
    <w:rsid w:val="006C483B"/>
    <w:rsid w:val="006C49D3"/>
    <w:rsid w:val="006C742E"/>
    <w:rsid w:val="006D78DE"/>
    <w:rsid w:val="006E2B12"/>
    <w:rsid w:val="006E3BE7"/>
    <w:rsid w:val="006E5986"/>
    <w:rsid w:val="006E5F79"/>
    <w:rsid w:val="006E6073"/>
    <w:rsid w:val="006E7D51"/>
    <w:rsid w:val="006F01F5"/>
    <w:rsid w:val="006F05AC"/>
    <w:rsid w:val="006F1E99"/>
    <w:rsid w:val="006F26FB"/>
    <w:rsid w:val="006F2A9A"/>
    <w:rsid w:val="006F33DF"/>
    <w:rsid w:val="006F7150"/>
    <w:rsid w:val="00710788"/>
    <w:rsid w:val="00710F9C"/>
    <w:rsid w:val="00711860"/>
    <w:rsid w:val="00714D1B"/>
    <w:rsid w:val="00717029"/>
    <w:rsid w:val="00720312"/>
    <w:rsid w:val="0072202C"/>
    <w:rsid w:val="0072288E"/>
    <w:rsid w:val="007229F0"/>
    <w:rsid w:val="00730BF8"/>
    <w:rsid w:val="007313AE"/>
    <w:rsid w:val="00735E33"/>
    <w:rsid w:val="0073667E"/>
    <w:rsid w:val="00740012"/>
    <w:rsid w:val="00741F34"/>
    <w:rsid w:val="00745B3A"/>
    <w:rsid w:val="0074780F"/>
    <w:rsid w:val="007502BB"/>
    <w:rsid w:val="007520B7"/>
    <w:rsid w:val="00752D2E"/>
    <w:rsid w:val="007539EE"/>
    <w:rsid w:val="00756CFF"/>
    <w:rsid w:val="00761A28"/>
    <w:rsid w:val="00762F4A"/>
    <w:rsid w:val="007633CA"/>
    <w:rsid w:val="007663F0"/>
    <w:rsid w:val="00767B4B"/>
    <w:rsid w:val="00774DB3"/>
    <w:rsid w:val="00777511"/>
    <w:rsid w:val="00782BD3"/>
    <w:rsid w:val="00783A2D"/>
    <w:rsid w:val="00783C30"/>
    <w:rsid w:val="00786516"/>
    <w:rsid w:val="0078701B"/>
    <w:rsid w:val="0079003D"/>
    <w:rsid w:val="00790F54"/>
    <w:rsid w:val="00792C55"/>
    <w:rsid w:val="0079349C"/>
    <w:rsid w:val="007957D3"/>
    <w:rsid w:val="007963A4"/>
    <w:rsid w:val="007A3942"/>
    <w:rsid w:val="007A41FE"/>
    <w:rsid w:val="007A4FF1"/>
    <w:rsid w:val="007A5C4C"/>
    <w:rsid w:val="007A6008"/>
    <w:rsid w:val="007A66E8"/>
    <w:rsid w:val="007A67A8"/>
    <w:rsid w:val="007A6D6E"/>
    <w:rsid w:val="007B5B14"/>
    <w:rsid w:val="007C00B5"/>
    <w:rsid w:val="007C271F"/>
    <w:rsid w:val="007D4695"/>
    <w:rsid w:val="007D5F69"/>
    <w:rsid w:val="007D7D2D"/>
    <w:rsid w:val="007E24A8"/>
    <w:rsid w:val="007E6BBB"/>
    <w:rsid w:val="007F0CC4"/>
    <w:rsid w:val="007F261A"/>
    <w:rsid w:val="007F4389"/>
    <w:rsid w:val="00805841"/>
    <w:rsid w:val="008067E9"/>
    <w:rsid w:val="00810BDB"/>
    <w:rsid w:val="008138C2"/>
    <w:rsid w:val="008207FC"/>
    <w:rsid w:val="00824A1A"/>
    <w:rsid w:val="0082723D"/>
    <w:rsid w:val="00830FB1"/>
    <w:rsid w:val="008318D4"/>
    <w:rsid w:val="00832C2D"/>
    <w:rsid w:val="00835C56"/>
    <w:rsid w:val="00835F60"/>
    <w:rsid w:val="0083628C"/>
    <w:rsid w:val="00840509"/>
    <w:rsid w:val="00840E2A"/>
    <w:rsid w:val="00841B85"/>
    <w:rsid w:val="0084484A"/>
    <w:rsid w:val="00845EAD"/>
    <w:rsid w:val="008509BD"/>
    <w:rsid w:val="008518FE"/>
    <w:rsid w:val="00856079"/>
    <w:rsid w:val="008631C4"/>
    <w:rsid w:val="00863246"/>
    <w:rsid w:val="008647E2"/>
    <w:rsid w:val="00865A3B"/>
    <w:rsid w:val="00867C1C"/>
    <w:rsid w:val="00871807"/>
    <w:rsid w:val="0087458E"/>
    <w:rsid w:val="00874F4C"/>
    <w:rsid w:val="00877005"/>
    <w:rsid w:val="0088112D"/>
    <w:rsid w:val="0088245D"/>
    <w:rsid w:val="00886D81"/>
    <w:rsid w:val="00893B6A"/>
    <w:rsid w:val="008A0C31"/>
    <w:rsid w:val="008A1EE5"/>
    <w:rsid w:val="008A2F62"/>
    <w:rsid w:val="008B10B5"/>
    <w:rsid w:val="008B3EC8"/>
    <w:rsid w:val="008B6C92"/>
    <w:rsid w:val="008B7CE7"/>
    <w:rsid w:val="008C3A26"/>
    <w:rsid w:val="008C42A4"/>
    <w:rsid w:val="008C53F1"/>
    <w:rsid w:val="008C5FF0"/>
    <w:rsid w:val="008D1AF9"/>
    <w:rsid w:val="008D2226"/>
    <w:rsid w:val="008E4405"/>
    <w:rsid w:val="008E4839"/>
    <w:rsid w:val="008E5D81"/>
    <w:rsid w:val="008E656C"/>
    <w:rsid w:val="008E704C"/>
    <w:rsid w:val="008F39A1"/>
    <w:rsid w:val="00902772"/>
    <w:rsid w:val="00903665"/>
    <w:rsid w:val="0090419E"/>
    <w:rsid w:val="00904C28"/>
    <w:rsid w:val="009053AC"/>
    <w:rsid w:val="00910979"/>
    <w:rsid w:val="00913FA1"/>
    <w:rsid w:val="00916263"/>
    <w:rsid w:val="00916B1E"/>
    <w:rsid w:val="00916CF7"/>
    <w:rsid w:val="00916F72"/>
    <w:rsid w:val="00917EB0"/>
    <w:rsid w:val="009200D9"/>
    <w:rsid w:val="00924290"/>
    <w:rsid w:val="0093136C"/>
    <w:rsid w:val="009361E0"/>
    <w:rsid w:val="00940851"/>
    <w:rsid w:val="0094353A"/>
    <w:rsid w:val="00950E79"/>
    <w:rsid w:val="00953DC8"/>
    <w:rsid w:val="009541DC"/>
    <w:rsid w:val="00954DED"/>
    <w:rsid w:val="00957FBC"/>
    <w:rsid w:val="0096288A"/>
    <w:rsid w:val="0096360D"/>
    <w:rsid w:val="00963665"/>
    <w:rsid w:val="009647CE"/>
    <w:rsid w:val="00964DCE"/>
    <w:rsid w:val="009661C0"/>
    <w:rsid w:val="009713B5"/>
    <w:rsid w:val="0097695A"/>
    <w:rsid w:val="00982515"/>
    <w:rsid w:val="00985C6F"/>
    <w:rsid w:val="00987DA5"/>
    <w:rsid w:val="00996119"/>
    <w:rsid w:val="009A10CD"/>
    <w:rsid w:val="009B1BE6"/>
    <w:rsid w:val="009B2215"/>
    <w:rsid w:val="009B3F2A"/>
    <w:rsid w:val="009B493D"/>
    <w:rsid w:val="009B6017"/>
    <w:rsid w:val="009B77A4"/>
    <w:rsid w:val="009B7B34"/>
    <w:rsid w:val="009C02EB"/>
    <w:rsid w:val="009C263C"/>
    <w:rsid w:val="009C760C"/>
    <w:rsid w:val="009D22C9"/>
    <w:rsid w:val="009D59B1"/>
    <w:rsid w:val="009D6E38"/>
    <w:rsid w:val="009D7798"/>
    <w:rsid w:val="009D7F30"/>
    <w:rsid w:val="009E272C"/>
    <w:rsid w:val="009E7949"/>
    <w:rsid w:val="009F1173"/>
    <w:rsid w:val="009F2CE7"/>
    <w:rsid w:val="009F6300"/>
    <w:rsid w:val="00A03DAA"/>
    <w:rsid w:val="00A04E16"/>
    <w:rsid w:val="00A053A7"/>
    <w:rsid w:val="00A07072"/>
    <w:rsid w:val="00A1398C"/>
    <w:rsid w:val="00A16209"/>
    <w:rsid w:val="00A179D8"/>
    <w:rsid w:val="00A17F78"/>
    <w:rsid w:val="00A217B1"/>
    <w:rsid w:val="00A226D6"/>
    <w:rsid w:val="00A2617B"/>
    <w:rsid w:val="00A326C7"/>
    <w:rsid w:val="00A34E4F"/>
    <w:rsid w:val="00A36005"/>
    <w:rsid w:val="00A36F6E"/>
    <w:rsid w:val="00A40FDD"/>
    <w:rsid w:val="00A43B1A"/>
    <w:rsid w:val="00A476E2"/>
    <w:rsid w:val="00A52E27"/>
    <w:rsid w:val="00A66B88"/>
    <w:rsid w:val="00A7059A"/>
    <w:rsid w:val="00A72258"/>
    <w:rsid w:val="00A73CCB"/>
    <w:rsid w:val="00A754BF"/>
    <w:rsid w:val="00A80900"/>
    <w:rsid w:val="00A9256F"/>
    <w:rsid w:val="00A94073"/>
    <w:rsid w:val="00A95724"/>
    <w:rsid w:val="00A97609"/>
    <w:rsid w:val="00A97CC1"/>
    <w:rsid w:val="00AA0964"/>
    <w:rsid w:val="00AA0D73"/>
    <w:rsid w:val="00AB7956"/>
    <w:rsid w:val="00AB7F1E"/>
    <w:rsid w:val="00AC0253"/>
    <w:rsid w:val="00AC5BD9"/>
    <w:rsid w:val="00AC760B"/>
    <w:rsid w:val="00AD0E90"/>
    <w:rsid w:val="00AD267E"/>
    <w:rsid w:val="00AD5950"/>
    <w:rsid w:val="00AE7B09"/>
    <w:rsid w:val="00AF4B02"/>
    <w:rsid w:val="00AF5C38"/>
    <w:rsid w:val="00B01D6A"/>
    <w:rsid w:val="00B0308C"/>
    <w:rsid w:val="00B10E20"/>
    <w:rsid w:val="00B119E0"/>
    <w:rsid w:val="00B13755"/>
    <w:rsid w:val="00B14EDA"/>
    <w:rsid w:val="00B15B26"/>
    <w:rsid w:val="00B15EA7"/>
    <w:rsid w:val="00B218BF"/>
    <w:rsid w:val="00B27FD9"/>
    <w:rsid w:val="00B30A58"/>
    <w:rsid w:val="00B33E1B"/>
    <w:rsid w:val="00B35FBA"/>
    <w:rsid w:val="00B35FD4"/>
    <w:rsid w:val="00B40022"/>
    <w:rsid w:val="00B40969"/>
    <w:rsid w:val="00B4789A"/>
    <w:rsid w:val="00B51B53"/>
    <w:rsid w:val="00B527C6"/>
    <w:rsid w:val="00B63983"/>
    <w:rsid w:val="00B66459"/>
    <w:rsid w:val="00B7027A"/>
    <w:rsid w:val="00B719FD"/>
    <w:rsid w:val="00B71B7E"/>
    <w:rsid w:val="00B73D60"/>
    <w:rsid w:val="00B7675B"/>
    <w:rsid w:val="00B80918"/>
    <w:rsid w:val="00B81709"/>
    <w:rsid w:val="00B82529"/>
    <w:rsid w:val="00B91227"/>
    <w:rsid w:val="00B94D4D"/>
    <w:rsid w:val="00B9576A"/>
    <w:rsid w:val="00B959E0"/>
    <w:rsid w:val="00B9605D"/>
    <w:rsid w:val="00B96F7F"/>
    <w:rsid w:val="00B97D08"/>
    <w:rsid w:val="00BA2FE9"/>
    <w:rsid w:val="00BB2C8E"/>
    <w:rsid w:val="00BB3836"/>
    <w:rsid w:val="00BC6F6D"/>
    <w:rsid w:val="00BC79AA"/>
    <w:rsid w:val="00BC7BE2"/>
    <w:rsid w:val="00BD01DA"/>
    <w:rsid w:val="00BD1DC0"/>
    <w:rsid w:val="00BD70E0"/>
    <w:rsid w:val="00BE1D4B"/>
    <w:rsid w:val="00BE2BF0"/>
    <w:rsid w:val="00BE491C"/>
    <w:rsid w:val="00BE4F1C"/>
    <w:rsid w:val="00BE6F0A"/>
    <w:rsid w:val="00BE7278"/>
    <w:rsid w:val="00BE7B71"/>
    <w:rsid w:val="00BF2E9E"/>
    <w:rsid w:val="00BF4819"/>
    <w:rsid w:val="00BF5021"/>
    <w:rsid w:val="00BF6960"/>
    <w:rsid w:val="00C00573"/>
    <w:rsid w:val="00C01D6D"/>
    <w:rsid w:val="00C0394B"/>
    <w:rsid w:val="00C101D8"/>
    <w:rsid w:val="00C15724"/>
    <w:rsid w:val="00C16678"/>
    <w:rsid w:val="00C21599"/>
    <w:rsid w:val="00C244B2"/>
    <w:rsid w:val="00C30868"/>
    <w:rsid w:val="00C32403"/>
    <w:rsid w:val="00C34D32"/>
    <w:rsid w:val="00C41372"/>
    <w:rsid w:val="00C41FD7"/>
    <w:rsid w:val="00C6082A"/>
    <w:rsid w:val="00C61509"/>
    <w:rsid w:val="00C62C53"/>
    <w:rsid w:val="00C64768"/>
    <w:rsid w:val="00C71158"/>
    <w:rsid w:val="00C71A97"/>
    <w:rsid w:val="00C736F6"/>
    <w:rsid w:val="00C81FCB"/>
    <w:rsid w:val="00C829CC"/>
    <w:rsid w:val="00C91212"/>
    <w:rsid w:val="00C92BC1"/>
    <w:rsid w:val="00C96435"/>
    <w:rsid w:val="00CA25E8"/>
    <w:rsid w:val="00CA2731"/>
    <w:rsid w:val="00CA4BB0"/>
    <w:rsid w:val="00CA7053"/>
    <w:rsid w:val="00CB4172"/>
    <w:rsid w:val="00CB57AB"/>
    <w:rsid w:val="00CB6D1B"/>
    <w:rsid w:val="00CB77B1"/>
    <w:rsid w:val="00CC2A43"/>
    <w:rsid w:val="00CC36AC"/>
    <w:rsid w:val="00CC5AAE"/>
    <w:rsid w:val="00CC7CB2"/>
    <w:rsid w:val="00CD017B"/>
    <w:rsid w:val="00CD0859"/>
    <w:rsid w:val="00CD2493"/>
    <w:rsid w:val="00CD55EC"/>
    <w:rsid w:val="00CE36B7"/>
    <w:rsid w:val="00CE41F5"/>
    <w:rsid w:val="00CE4391"/>
    <w:rsid w:val="00CF0D9C"/>
    <w:rsid w:val="00CF2FB6"/>
    <w:rsid w:val="00CF4250"/>
    <w:rsid w:val="00CF49DA"/>
    <w:rsid w:val="00CF5AE8"/>
    <w:rsid w:val="00CF67B5"/>
    <w:rsid w:val="00CF67E8"/>
    <w:rsid w:val="00CF7C5F"/>
    <w:rsid w:val="00D02236"/>
    <w:rsid w:val="00D046D2"/>
    <w:rsid w:val="00D06468"/>
    <w:rsid w:val="00D1017D"/>
    <w:rsid w:val="00D11282"/>
    <w:rsid w:val="00D11D55"/>
    <w:rsid w:val="00D14569"/>
    <w:rsid w:val="00D15B0F"/>
    <w:rsid w:val="00D22AEF"/>
    <w:rsid w:val="00D25096"/>
    <w:rsid w:val="00D2614B"/>
    <w:rsid w:val="00D3035E"/>
    <w:rsid w:val="00D30B4B"/>
    <w:rsid w:val="00D31FD3"/>
    <w:rsid w:val="00D3496C"/>
    <w:rsid w:val="00D3643E"/>
    <w:rsid w:val="00D40841"/>
    <w:rsid w:val="00D411DB"/>
    <w:rsid w:val="00D452EA"/>
    <w:rsid w:val="00D53BE1"/>
    <w:rsid w:val="00D57ABE"/>
    <w:rsid w:val="00D60D0A"/>
    <w:rsid w:val="00D63034"/>
    <w:rsid w:val="00D664DF"/>
    <w:rsid w:val="00D72C48"/>
    <w:rsid w:val="00D7572D"/>
    <w:rsid w:val="00D76EC7"/>
    <w:rsid w:val="00D806F7"/>
    <w:rsid w:val="00D84E57"/>
    <w:rsid w:val="00D90E8B"/>
    <w:rsid w:val="00D964B6"/>
    <w:rsid w:val="00DA06CF"/>
    <w:rsid w:val="00DA2107"/>
    <w:rsid w:val="00DA482F"/>
    <w:rsid w:val="00DA4F8D"/>
    <w:rsid w:val="00DA567B"/>
    <w:rsid w:val="00DA700A"/>
    <w:rsid w:val="00DB10DE"/>
    <w:rsid w:val="00DC076C"/>
    <w:rsid w:val="00DC0BCD"/>
    <w:rsid w:val="00DC63EA"/>
    <w:rsid w:val="00DC7755"/>
    <w:rsid w:val="00DD0776"/>
    <w:rsid w:val="00DD2D10"/>
    <w:rsid w:val="00DD493A"/>
    <w:rsid w:val="00DE0BA7"/>
    <w:rsid w:val="00DE6E8C"/>
    <w:rsid w:val="00DF1B60"/>
    <w:rsid w:val="00DF64FE"/>
    <w:rsid w:val="00DF70DD"/>
    <w:rsid w:val="00E05CBD"/>
    <w:rsid w:val="00E0685D"/>
    <w:rsid w:val="00E133C1"/>
    <w:rsid w:val="00E13A22"/>
    <w:rsid w:val="00E22023"/>
    <w:rsid w:val="00E24F4A"/>
    <w:rsid w:val="00E24F6C"/>
    <w:rsid w:val="00E25FBD"/>
    <w:rsid w:val="00E26554"/>
    <w:rsid w:val="00E27C54"/>
    <w:rsid w:val="00E33DFC"/>
    <w:rsid w:val="00E36DC0"/>
    <w:rsid w:val="00E37A28"/>
    <w:rsid w:val="00E40C11"/>
    <w:rsid w:val="00E504F9"/>
    <w:rsid w:val="00E5307C"/>
    <w:rsid w:val="00E5314E"/>
    <w:rsid w:val="00E538A2"/>
    <w:rsid w:val="00E61DCA"/>
    <w:rsid w:val="00E65FF2"/>
    <w:rsid w:val="00E67113"/>
    <w:rsid w:val="00E67390"/>
    <w:rsid w:val="00E71726"/>
    <w:rsid w:val="00E732A5"/>
    <w:rsid w:val="00E757CD"/>
    <w:rsid w:val="00E76293"/>
    <w:rsid w:val="00E773EF"/>
    <w:rsid w:val="00E824E1"/>
    <w:rsid w:val="00E841D0"/>
    <w:rsid w:val="00E84CB6"/>
    <w:rsid w:val="00E8759A"/>
    <w:rsid w:val="00E915A7"/>
    <w:rsid w:val="00E934B9"/>
    <w:rsid w:val="00E9363B"/>
    <w:rsid w:val="00E966EE"/>
    <w:rsid w:val="00EA0D8E"/>
    <w:rsid w:val="00EA4ECB"/>
    <w:rsid w:val="00EA78F0"/>
    <w:rsid w:val="00EB0365"/>
    <w:rsid w:val="00EB1D83"/>
    <w:rsid w:val="00EB210F"/>
    <w:rsid w:val="00EB3AB1"/>
    <w:rsid w:val="00EC2261"/>
    <w:rsid w:val="00ED09EC"/>
    <w:rsid w:val="00ED2B43"/>
    <w:rsid w:val="00EE161E"/>
    <w:rsid w:val="00EE26EB"/>
    <w:rsid w:val="00EE2B73"/>
    <w:rsid w:val="00EF0326"/>
    <w:rsid w:val="00EF0F0F"/>
    <w:rsid w:val="00EF712F"/>
    <w:rsid w:val="00F0048F"/>
    <w:rsid w:val="00F01F55"/>
    <w:rsid w:val="00F141A9"/>
    <w:rsid w:val="00F1772D"/>
    <w:rsid w:val="00F22C55"/>
    <w:rsid w:val="00F270CF"/>
    <w:rsid w:val="00F301E8"/>
    <w:rsid w:val="00F323E3"/>
    <w:rsid w:val="00F33FD6"/>
    <w:rsid w:val="00F34D29"/>
    <w:rsid w:val="00F35C2C"/>
    <w:rsid w:val="00F44F0C"/>
    <w:rsid w:val="00F45974"/>
    <w:rsid w:val="00F45EFD"/>
    <w:rsid w:val="00F51B8A"/>
    <w:rsid w:val="00F53A4B"/>
    <w:rsid w:val="00F64D16"/>
    <w:rsid w:val="00F65B50"/>
    <w:rsid w:val="00F66697"/>
    <w:rsid w:val="00F66D00"/>
    <w:rsid w:val="00F67B3D"/>
    <w:rsid w:val="00F733D2"/>
    <w:rsid w:val="00F867C5"/>
    <w:rsid w:val="00F87CF1"/>
    <w:rsid w:val="00F906DF"/>
    <w:rsid w:val="00F934DE"/>
    <w:rsid w:val="00F941F7"/>
    <w:rsid w:val="00F95832"/>
    <w:rsid w:val="00F9693E"/>
    <w:rsid w:val="00F973AF"/>
    <w:rsid w:val="00F9745A"/>
    <w:rsid w:val="00FA5CE9"/>
    <w:rsid w:val="00FA6695"/>
    <w:rsid w:val="00FA794C"/>
    <w:rsid w:val="00FB1C77"/>
    <w:rsid w:val="00FB3E54"/>
    <w:rsid w:val="00FB3F6A"/>
    <w:rsid w:val="00FB6F1F"/>
    <w:rsid w:val="00FC749F"/>
    <w:rsid w:val="00FD2905"/>
    <w:rsid w:val="00FE1CEA"/>
    <w:rsid w:val="00FE3C8E"/>
    <w:rsid w:val="00FE3E86"/>
    <w:rsid w:val="00FE4490"/>
    <w:rsid w:val="00FE51F2"/>
    <w:rsid w:val="00FE52AD"/>
    <w:rsid w:val="00FE5547"/>
    <w:rsid w:val="00FE5CB2"/>
    <w:rsid w:val="00FF15E9"/>
    <w:rsid w:val="00FF6973"/>
    <w:rsid w:val="02D671DD"/>
    <w:rsid w:val="1DD13355"/>
    <w:rsid w:val="1F246194"/>
    <w:rsid w:val="21AF23DE"/>
    <w:rsid w:val="250932D9"/>
    <w:rsid w:val="30D863E3"/>
    <w:rsid w:val="35706056"/>
    <w:rsid w:val="35844C1F"/>
    <w:rsid w:val="378A66D0"/>
    <w:rsid w:val="3F352080"/>
    <w:rsid w:val="46050EA9"/>
    <w:rsid w:val="49D862C5"/>
    <w:rsid w:val="4B474E5A"/>
    <w:rsid w:val="51E06E0A"/>
    <w:rsid w:val="53167101"/>
    <w:rsid w:val="5B5FA6DC"/>
    <w:rsid w:val="63BE4DA7"/>
    <w:rsid w:val="6CB6511A"/>
    <w:rsid w:val="72A65BBE"/>
  </w:rsids>
  <m:mathPr>
    <m:mathFont m:val="Cambria Math"/>
    <m:brkBin m:val="before"/>
    <m:brkBinSub m:val="--"/>
    <m:smallFrac m:val="0"/>
    <m:dispDef m:val="0"/>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lang w:val="zh-CN" w:eastAsia="zh-CN"/>
    </w:rPr>
  </w:style>
  <w:style w:type="paragraph" w:styleId="3">
    <w:name w:val="heading 2"/>
    <w:basedOn w:val="1"/>
    <w:next w:val="1"/>
    <w:link w:val="27"/>
    <w:unhideWhenUsed/>
    <w:qFormat/>
    <w:uiPriority w:val="9"/>
    <w:pPr>
      <w:keepNext/>
      <w:keepLines/>
      <w:spacing w:before="260" w:after="260" w:line="416" w:lineRule="auto"/>
      <w:outlineLvl w:val="1"/>
    </w:pPr>
    <w:rPr>
      <w:rFonts w:ascii="Cambria" w:hAnsi="Cambria"/>
      <w:b/>
      <w:bCs/>
      <w:kern w:val="0"/>
      <w:sz w:val="32"/>
      <w:szCs w:val="32"/>
      <w:lang w:val="zh-CN" w:eastAsia="zh-CN"/>
    </w:rPr>
  </w:style>
  <w:style w:type="paragraph" w:styleId="4">
    <w:name w:val="heading 3"/>
    <w:basedOn w:val="1"/>
    <w:next w:val="1"/>
    <w:link w:val="23"/>
    <w:unhideWhenUsed/>
    <w:qFormat/>
    <w:uiPriority w:val="9"/>
    <w:pPr>
      <w:keepNext/>
      <w:keepLines/>
      <w:spacing w:before="260" w:after="260" w:line="416" w:lineRule="auto"/>
      <w:outlineLvl w:val="2"/>
    </w:pPr>
    <w:rPr>
      <w:b/>
      <w:bCs/>
      <w:kern w:val="0"/>
      <w:sz w:val="32"/>
      <w:szCs w:val="32"/>
      <w:lang w:val="zh-CN" w:eastAsia="zh-CN"/>
    </w:rPr>
  </w:style>
  <w:style w:type="paragraph" w:styleId="5">
    <w:name w:val="heading 4"/>
    <w:basedOn w:val="1"/>
    <w:next w:val="1"/>
    <w:link w:val="33"/>
    <w:semiHidden/>
    <w:unhideWhenUsed/>
    <w:qFormat/>
    <w:uiPriority w:val="0"/>
    <w:pPr>
      <w:keepNext/>
      <w:keepLines/>
      <w:spacing w:before="280" w:after="290" w:line="376" w:lineRule="auto"/>
      <w:outlineLvl w:val="3"/>
    </w:pPr>
    <w:rPr>
      <w:rFonts w:ascii="Cambria" w:hAnsi="Cambria"/>
      <w:b/>
      <w:bCs/>
      <w:kern w:val="0"/>
      <w:sz w:val="28"/>
      <w:szCs w:val="28"/>
      <w:lang w:val="zh-CN" w:eastAsia="zh-CN"/>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style>
  <w:style w:type="paragraph" w:styleId="7">
    <w:name w:val="annotation text"/>
    <w:basedOn w:val="1"/>
    <w:qFormat/>
    <w:uiPriority w:val="0"/>
    <w:pPr>
      <w:jc w:val="left"/>
    </w:pPr>
  </w:style>
  <w:style w:type="paragraph" w:styleId="8">
    <w:name w:val="Date"/>
    <w:basedOn w:val="1"/>
    <w:next w:val="1"/>
    <w:link w:val="48"/>
    <w:qFormat/>
    <w:uiPriority w:val="0"/>
    <w:rPr>
      <w:rFonts w:ascii="宋体"/>
      <w:sz w:val="32"/>
      <w:lang w:val="zh-CN" w:eastAsia="zh-CN"/>
    </w:rPr>
  </w:style>
  <w:style w:type="paragraph" w:styleId="9">
    <w:name w:val="Balloon Text"/>
    <w:basedOn w:val="1"/>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3"/>
    <w:next w:val="4"/>
    <w:link w:val="25"/>
    <w:qFormat/>
    <w:uiPriority w:val="0"/>
    <w:pPr>
      <w:spacing w:before="240" w:after="60" w:line="312" w:lineRule="auto"/>
      <w:jc w:val="left"/>
    </w:pPr>
    <w:rPr>
      <w:bCs w:val="0"/>
      <w:kern w:val="28"/>
      <w:sz w:val="24"/>
    </w:rPr>
  </w:style>
  <w:style w:type="paragraph" w:styleId="13">
    <w:name w:val="footnote text"/>
    <w:basedOn w:val="1"/>
    <w:link w:val="47"/>
    <w:qFormat/>
    <w:uiPriority w:val="0"/>
    <w:pPr>
      <w:snapToGrid w:val="0"/>
      <w:jc w:val="left"/>
    </w:pPr>
    <w:rPr>
      <w:sz w:val="18"/>
      <w:szCs w:val="18"/>
      <w:lang w:val="zh-CN" w:eastAsia="zh-CN"/>
    </w:r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2"/>
    <w:next w:val="3"/>
    <w:link w:val="28"/>
    <w:qFormat/>
    <w:uiPriority w:val="10"/>
    <w:pPr>
      <w:keepNext w:val="0"/>
      <w:keepLines w:val="0"/>
      <w:spacing w:before="240" w:after="60" w:line="240" w:lineRule="auto"/>
      <w:jc w:val="center"/>
    </w:pPr>
    <w:rPr>
      <w:rFonts w:ascii="Cambria" w:hAnsi="Cambria"/>
      <w:kern w:val="0"/>
      <w:sz w:val="32"/>
      <w:szCs w:val="32"/>
    </w:rPr>
  </w:style>
  <w:style w:type="paragraph" w:styleId="16">
    <w:name w:val="annotation subject"/>
    <w:basedOn w:val="7"/>
    <w:next w:val="7"/>
    <w:qFormat/>
    <w:uiPriority w:val="0"/>
    <w:rPr>
      <w:b/>
      <w:bCs/>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annotation reference"/>
    <w:qFormat/>
    <w:uiPriority w:val="0"/>
    <w:rPr>
      <w:sz w:val="21"/>
      <w:szCs w:val="21"/>
    </w:rPr>
  </w:style>
  <w:style w:type="character" w:styleId="22">
    <w:name w:val="footnote reference"/>
    <w:qFormat/>
    <w:uiPriority w:val="0"/>
    <w:rPr>
      <w:vertAlign w:val="superscript"/>
    </w:rPr>
  </w:style>
  <w:style w:type="character" w:customStyle="1" w:styleId="23">
    <w:name w:val="标题 3 Char"/>
    <w:link w:val="4"/>
    <w:qFormat/>
    <w:uiPriority w:val="9"/>
    <w:rPr>
      <w:b/>
      <w:bCs/>
      <w:sz w:val="32"/>
      <w:szCs w:val="32"/>
    </w:rPr>
  </w:style>
  <w:style w:type="character" w:customStyle="1" w:styleId="24">
    <w:name w:val="CODE"/>
    <w:qFormat/>
    <w:uiPriority w:val="0"/>
    <w:rPr>
      <w:rFonts w:ascii="Courier New" w:hAnsi="Courier New"/>
      <w:spacing w:val="-10"/>
      <w:sz w:val="20"/>
      <w:lang w:val="en-GB" w:eastAsia="zh-CN"/>
    </w:rPr>
  </w:style>
  <w:style w:type="character" w:customStyle="1" w:styleId="25">
    <w:name w:val="副标题 Char"/>
    <w:link w:val="12"/>
    <w:qFormat/>
    <w:uiPriority w:val="0"/>
    <w:rPr>
      <w:rFonts w:ascii="Cambria" w:hAnsi="Cambria" w:eastAsia="宋体" w:cs="Times New Roman"/>
      <w:b/>
      <w:kern w:val="28"/>
      <w:sz w:val="24"/>
      <w:szCs w:val="32"/>
    </w:rPr>
  </w:style>
  <w:style w:type="character" w:customStyle="1" w:styleId="26">
    <w:name w:val="标题 1 Char"/>
    <w:link w:val="2"/>
    <w:qFormat/>
    <w:uiPriority w:val="9"/>
    <w:rPr>
      <w:b/>
      <w:bCs/>
      <w:kern w:val="44"/>
      <w:sz w:val="44"/>
      <w:szCs w:val="44"/>
    </w:rPr>
  </w:style>
  <w:style w:type="character" w:customStyle="1" w:styleId="27">
    <w:name w:val="标题 2 Char"/>
    <w:link w:val="3"/>
    <w:qFormat/>
    <w:uiPriority w:val="9"/>
    <w:rPr>
      <w:rFonts w:ascii="Cambria" w:hAnsi="Cambria" w:eastAsia="宋体" w:cs="Times New Roman"/>
      <w:b/>
      <w:bCs/>
      <w:sz w:val="32"/>
      <w:szCs w:val="32"/>
    </w:rPr>
  </w:style>
  <w:style w:type="character" w:customStyle="1" w:styleId="28">
    <w:name w:val="标题 Char"/>
    <w:link w:val="15"/>
    <w:qFormat/>
    <w:uiPriority w:val="10"/>
    <w:rPr>
      <w:rFonts w:ascii="Cambria" w:hAnsi="Cambria" w:cs="Times New Roman"/>
      <w:b/>
      <w:bCs/>
      <w:sz w:val="32"/>
      <w:szCs w:val="32"/>
    </w:rPr>
  </w:style>
  <w:style w:type="paragraph" w:customStyle="1" w:styleId="2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30">
    <w:name w:val="Char Char Char Char Char Char1 Char Char Char"/>
    <w:basedOn w:val="1"/>
    <w:qFormat/>
    <w:uiPriority w:val="0"/>
    <w:pPr>
      <w:autoSpaceDE w:val="0"/>
      <w:autoSpaceDN w:val="0"/>
      <w:adjustRightInd w:val="0"/>
      <w:jc w:val="left"/>
      <w:textAlignment w:val="baseline"/>
    </w:pPr>
    <w:rPr>
      <w:rFonts w:ascii="宋体"/>
      <w:kern w:val="0"/>
      <w:sz w:val="34"/>
    </w:rPr>
  </w:style>
  <w:style w:type="paragraph" w:customStyle="1" w:styleId="31">
    <w:name w:val="次标题"/>
    <w:basedOn w:val="4"/>
    <w:next w:val="1"/>
    <w:qFormat/>
    <w:uiPriority w:val="0"/>
    <w:pPr>
      <w:jc w:val="left"/>
    </w:pPr>
    <w:rPr>
      <w:rFonts w:ascii="宋体" w:hAnsi="宋体"/>
      <w:sz w:val="24"/>
      <w:szCs w:val="24"/>
    </w:rPr>
  </w:style>
  <w:style w:type="paragraph" w:customStyle="1" w:styleId="32">
    <w:name w:val="Char"/>
    <w:basedOn w:val="1"/>
    <w:qFormat/>
    <w:uiPriority w:val="0"/>
  </w:style>
  <w:style w:type="character" w:customStyle="1" w:styleId="33">
    <w:name w:val="标题 4 Char"/>
    <w:link w:val="5"/>
    <w:semiHidden/>
    <w:qFormat/>
    <w:uiPriority w:val="0"/>
    <w:rPr>
      <w:rFonts w:ascii="Cambria" w:hAnsi="Cambria" w:eastAsia="宋体" w:cs="Times New Roman"/>
      <w:b/>
      <w:bCs/>
      <w:sz w:val="28"/>
      <w:szCs w:val="28"/>
    </w:rPr>
  </w:style>
  <w:style w:type="paragraph" w:customStyle="1" w:styleId="34">
    <w:name w:val="XBRL标题1"/>
    <w:basedOn w:val="2"/>
    <w:next w:val="3"/>
    <w:qFormat/>
    <w:uiPriority w:val="0"/>
    <w:pPr>
      <w:spacing w:beforeLines="50" w:afterLines="50" w:line="240" w:lineRule="auto"/>
      <w:jc w:val="center"/>
    </w:pPr>
    <w:rPr>
      <w:rFonts w:ascii="Cambria" w:hAnsi="Cambria"/>
      <w:sz w:val="28"/>
    </w:rPr>
  </w:style>
  <w:style w:type="paragraph" w:customStyle="1" w:styleId="35">
    <w:name w:val="XBRL标题2"/>
    <w:basedOn w:val="12"/>
    <w:next w:val="5"/>
    <w:qFormat/>
    <w:uiPriority w:val="0"/>
    <w:pPr>
      <w:spacing w:beforeLines="50" w:afterLines="50" w:line="240" w:lineRule="auto"/>
    </w:pPr>
    <w:rPr>
      <w:bCs/>
    </w:rPr>
  </w:style>
  <w:style w:type="paragraph" w:customStyle="1" w:styleId="36">
    <w:name w:val="XBRL标题3"/>
    <w:basedOn w:val="12"/>
    <w:next w:val="5"/>
    <w:qFormat/>
    <w:uiPriority w:val="0"/>
    <w:pPr>
      <w:spacing w:beforeLines="50" w:afterLines="50" w:line="240" w:lineRule="auto"/>
      <w:outlineLvl w:val="9"/>
    </w:pPr>
    <w:rPr>
      <w:bCs/>
    </w:rPr>
  </w:style>
  <w:style w:type="paragraph" w:customStyle="1" w:styleId="37">
    <w:name w:val="XBRL标题4"/>
    <w:basedOn w:val="12"/>
    <w:next w:val="5"/>
    <w:qFormat/>
    <w:uiPriority w:val="0"/>
    <w:pPr>
      <w:spacing w:beforeLines="50" w:afterLines="50" w:line="240" w:lineRule="auto"/>
      <w:outlineLvl w:val="9"/>
    </w:pPr>
    <w:rPr>
      <w:bCs/>
    </w:rPr>
  </w:style>
  <w:style w:type="paragraph" w:customStyle="1" w:styleId="38">
    <w:name w:val="XBRL标题5"/>
    <w:basedOn w:val="12"/>
    <w:next w:val="5"/>
    <w:qFormat/>
    <w:uiPriority w:val="0"/>
    <w:pPr>
      <w:spacing w:beforeLines="50" w:afterLines="50" w:line="240" w:lineRule="auto"/>
      <w:outlineLvl w:val="9"/>
    </w:pPr>
    <w:rPr>
      <w:bCs/>
    </w:rPr>
  </w:style>
  <w:style w:type="paragraph" w:customStyle="1" w:styleId="39">
    <w:name w:val="XBRL标题6"/>
    <w:basedOn w:val="12"/>
    <w:next w:val="5"/>
    <w:qFormat/>
    <w:uiPriority w:val="0"/>
    <w:pPr>
      <w:spacing w:beforeLines="50" w:afterLines="50" w:line="240" w:lineRule="auto"/>
      <w:outlineLvl w:val="9"/>
    </w:pPr>
    <w:rPr>
      <w:bCs/>
    </w:rPr>
  </w:style>
  <w:style w:type="paragraph" w:customStyle="1" w:styleId="40">
    <w:name w:val="XBRLTitle1"/>
    <w:basedOn w:val="2"/>
    <w:next w:val="3"/>
    <w:qFormat/>
    <w:uiPriority w:val="0"/>
    <w:pPr>
      <w:numPr>
        <w:ilvl w:val="0"/>
        <w:numId w:val="1"/>
      </w:numPr>
      <w:spacing w:before="156" w:beforeLines="50" w:after="156" w:afterLines="50" w:line="240" w:lineRule="auto"/>
      <w:jc w:val="left"/>
    </w:pPr>
    <w:rPr>
      <w:rFonts w:ascii="Cambria" w:hAnsi="Cambria"/>
      <w:sz w:val="28"/>
    </w:rPr>
  </w:style>
  <w:style w:type="paragraph" w:customStyle="1" w:styleId="41">
    <w:name w:val="XBRLTitle2"/>
    <w:basedOn w:val="12"/>
    <w:next w:val="5"/>
    <w:qFormat/>
    <w:uiPriority w:val="0"/>
    <w:pPr>
      <w:numPr>
        <w:ilvl w:val="1"/>
        <w:numId w:val="2"/>
      </w:numPr>
      <w:spacing w:beforeLines="50" w:afterLines="50" w:line="240" w:lineRule="auto"/>
    </w:pPr>
    <w:rPr>
      <w:bCs/>
    </w:rPr>
  </w:style>
  <w:style w:type="paragraph" w:customStyle="1" w:styleId="42">
    <w:name w:val="XBRLTitle3"/>
    <w:basedOn w:val="12"/>
    <w:next w:val="5"/>
    <w:qFormat/>
    <w:uiPriority w:val="0"/>
    <w:pPr>
      <w:numPr>
        <w:ilvl w:val="2"/>
        <w:numId w:val="2"/>
      </w:numPr>
      <w:spacing w:beforeLines="50" w:afterLines="50" w:line="240" w:lineRule="auto"/>
      <w:outlineLvl w:val="9"/>
    </w:pPr>
    <w:rPr>
      <w:bCs/>
    </w:rPr>
  </w:style>
  <w:style w:type="paragraph" w:customStyle="1" w:styleId="43">
    <w:name w:val="XBRLTitle4"/>
    <w:basedOn w:val="12"/>
    <w:next w:val="5"/>
    <w:qFormat/>
    <w:uiPriority w:val="0"/>
    <w:pPr>
      <w:numPr>
        <w:ilvl w:val="3"/>
        <w:numId w:val="2"/>
      </w:numPr>
      <w:spacing w:beforeLines="50" w:afterLines="50" w:line="240" w:lineRule="auto"/>
      <w:outlineLvl w:val="9"/>
    </w:pPr>
    <w:rPr>
      <w:bCs/>
    </w:rPr>
  </w:style>
  <w:style w:type="paragraph" w:customStyle="1" w:styleId="44">
    <w:name w:val="XBRLTitle5"/>
    <w:basedOn w:val="12"/>
    <w:next w:val="5"/>
    <w:qFormat/>
    <w:uiPriority w:val="0"/>
    <w:pPr>
      <w:numPr>
        <w:ilvl w:val="4"/>
        <w:numId w:val="2"/>
      </w:numPr>
      <w:spacing w:beforeLines="50" w:afterLines="50" w:line="240" w:lineRule="auto"/>
      <w:outlineLvl w:val="9"/>
    </w:pPr>
    <w:rPr>
      <w:bCs/>
    </w:rPr>
  </w:style>
  <w:style w:type="paragraph" w:customStyle="1" w:styleId="45">
    <w:name w:val="XBRLTitle6"/>
    <w:basedOn w:val="12"/>
    <w:next w:val="5"/>
    <w:qFormat/>
    <w:uiPriority w:val="0"/>
    <w:pPr>
      <w:numPr>
        <w:ilvl w:val="5"/>
        <w:numId w:val="2"/>
      </w:numPr>
      <w:spacing w:beforeLines="50" w:afterLines="50" w:line="240" w:lineRule="auto"/>
      <w:outlineLvl w:val="9"/>
    </w:pPr>
    <w:rPr>
      <w:bCs/>
    </w:rPr>
  </w:style>
  <w:style w:type="paragraph" w:customStyle="1" w:styleId="46">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character" w:customStyle="1" w:styleId="47">
    <w:name w:val="脚注文本 Char"/>
    <w:link w:val="13"/>
    <w:qFormat/>
    <w:uiPriority w:val="0"/>
    <w:rPr>
      <w:kern w:val="2"/>
      <w:sz w:val="18"/>
      <w:szCs w:val="18"/>
    </w:rPr>
  </w:style>
  <w:style w:type="character" w:customStyle="1" w:styleId="48">
    <w:name w:val="日期 Char"/>
    <w:link w:val="8"/>
    <w:qFormat/>
    <w:uiPriority w:val="0"/>
    <w:rPr>
      <w:rFonts w:ascii="宋体"/>
      <w:kern w:val="2"/>
      <w:sz w:val="32"/>
    </w:rPr>
  </w:style>
  <w:style w:type="paragraph" w:styleId="49">
    <w:name w:val="List Paragraph"/>
    <w:basedOn w:val="1"/>
    <w:qFormat/>
    <w:uiPriority w:val="34"/>
    <w:pPr>
      <w:ind w:firstLine="420" w:firstLineChars="200"/>
    </w:pPr>
  </w:style>
  <w:style w:type="paragraph" w:customStyle="1" w:styleId="50">
    <w:name w:val="Char1"/>
    <w:basedOn w:val="1"/>
    <w:qFormat/>
    <w:uiPriority w:val="0"/>
  </w:style>
  <w:style w:type="paragraph" w:customStyle="1" w:styleId="51">
    <w:name w:val="xbrltitle2"/>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Lenovo</Company>
  <Pages>5</Pages>
  <Words>314</Words>
  <Characters>1794</Characters>
  <Lines>14</Lines>
  <Paragraphs>4</Paragraphs>
  <TotalTime>178</TotalTime>
  <ScaleCrop>false</ScaleCrop>
  <LinksUpToDate>false</LinksUpToDate>
  <CharactersWithSpaces>2104</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2021-04-23T15:42:00Z</dcterms:created>
  <dc:creator>yss</dc:creator>
  <cp:lastModifiedBy>01142875</cp:lastModifiedBy>
  <cp:lastPrinted>2411-12-31T00:00:00Z</cp:lastPrinted>
  <dcterms:modified xsi:type="dcterms:W3CDTF">2026-01-12T06:52:21Z</dcterms:modified>
  <dc:title>gongGaoMingCheng</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Generator">
    <vt:lpwstr>NPOI</vt:lpwstr>
  </property>
  <property fmtid="{D5CDD505-2E9C-101B-9397-08002B2CF9AE}" pid="4" name="Generator Version">
    <vt:lpwstr>2.2.1</vt:lpwstr>
  </property>
  <property fmtid="{D5CDD505-2E9C-101B-9397-08002B2CF9AE}" pid="5" name="ICV">
    <vt:lpwstr>B5BA1DD673A54B29BBE5407BCA7A7123</vt:lpwstr>
  </property>
</Properties>
</file>